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20131" w14:textId="21B665F5" w:rsidR="00B74A72" w:rsidRDefault="00881669">
      <w:pPr>
        <w:pStyle w:val="CRCoverPage"/>
        <w:tabs>
          <w:tab w:val="right" w:pos="9639"/>
        </w:tabs>
        <w:spacing w:after="0"/>
        <w:rPr>
          <w:rFonts w:eastAsia="宋体" w:cs="Arial"/>
          <w:b/>
          <w:sz w:val="24"/>
          <w:lang w:val="en-US" w:eastAsia="zh-CN"/>
        </w:rPr>
      </w:pPr>
      <w:bookmarkStart w:id="0" w:name="OLE_LINK3"/>
      <w:bookmarkStart w:id="1" w:name="OLE_LINK34"/>
      <w:bookmarkStart w:id="2" w:name="OLE_LINK33"/>
      <w:bookmarkStart w:id="3" w:name="OLE_LINK12"/>
      <w:bookmarkStart w:id="4" w:name="OLE_LINK13"/>
      <w:r>
        <w:rPr>
          <w:rFonts w:cs="Arial"/>
          <w:b/>
          <w:sz w:val="24"/>
        </w:rPr>
        <w:t>3GPP TSG-RAN2 meeting#</w:t>
      </w:r>
      <w:r>
        <w:rPr>
          <w:rFonts w:cs="Arial"/>
          <w:b/>
          <w:sz w:val="24"/>
          <w:szCs w:val="22"/>
        </w:rPr>
        <w:t>10</w:t>
      </w:r>
      <w:r>
        <w:rPr>
          <w:rFonts w:eastAsia="宋体" w:cs="Arial" w:hint="eastAsia"/>
          <w:b/>
          <w:sz w:val="24"/>
          <w:szCs w:val="22"/>
          <w:lang w:val="en-US" w:eastAsia="zh-CN"/>
        </w:rPr>
        <w:t>6</w:t>
      </w:r>
      <w:r w:rsidR="007A50C3">
        <w:rPr>
          <w:rFonts w:cs="Arial"/>
          <w:b/>
          <w:i/>
          <w:sz w:val="28"/>
        </w:rPr>
        <w:tab/>
        <w:t xml:space="preserve">      </w:t>
      </w:r>
      <w:r w:rsidRPr="007A50C3">
        <w:rPr>
          <w:rFonts w:cs="Arial" w:hint="eastAsia"/>
          <w:b/>
          <w:i/>
          <w:iCs/>
          <w:sz w:val="24"/>
        </w:rPr>
        <w:t>R2-1905647</w:t>
      </w:r>
    </w:p>
    <w:p w14:paraId="0AC49816" w14:textId="77777777" w:rsidR="00B74A72" w:rsidRDefault="00881669">
      <w:pPr>
        <w:tabs>
          <w:tab w:val="center" w:pos="4536"/>
          <w:tab w:val="right" w:pos="9072"/>
        </w:tabs>
        <w:rPr>
          <w:rFonts w:ascii="Arial" w:hAnsi="Arial"/>
          <w:b/>
          <w:sz w:val="24"/>
          <w:szCs w:val="20"/>
          <w:lang w:val="en-GB" w:eastAsia="en-US"/>
        </w:rPr>
      </w:pPr>
      <w:r>
        <w:rPr>
          <w:rFonts w:ascii="Arial" w:hAnsi="Arial"/>
          <w:b/>
          <w:sz w:val="24"/>
          <w:szCs w:val="20"/>
          <w:lang w:val="en-GB" w:eastAsia="en-US"/>
        </w:rPr>
        <w:t xml:space="preserve">Reno, Nevada, USA, </w:t>
      </w:r>
      <w:r>
        <w:rPr>
          <w:rFonts w:ascii="Arial" w:eastAsia="宋体" w:hAnsi="Arial" w:hint="eastAsia"/>
          <w:b/>
          <w:sz w:val="24"/>
          <w:szCs w:val="20"/>
        </w:rPr>
        <w:t>13</w:t>
      </w:r>
      <w:r>
        <w:rPr>
          <w:rFonts w:ascii="Arial" w:hAnsi="Arial"/>
          <w:b/>
          <w:sz w:val="24"/>
          <w:szCs w:val="20"/>
          <w:vertAlign w:val="superscript"/>
          <w:lang w:val="en-GB" w:eastAsia="en-US"/>
        </w:rPr>
        <w:t>th</w:t>
      </w:r>
      <w:r>
        <w:rPr>
          <w:rFonts w:ascii="Arial" w:hAnsi="Arial"/>
          <w:b/>
          <w:sz w:val="24"/>
          <w:szCs w:val="20"/>
          <w:lang w:val="en-GB" w:eastAsia="en-US"/>
        </w:rPr>
        <w:t xml:space="preserve"> – 1</w:t>
      </w:r>
      <w:r>
        <w:rPr>
          <w:rFonts w:ascii="Arial" w:eastAsia="宋体" w:hAnsi="Arial" w:hint="eastAsia"/>
          <w:b/>
          <w:sz w:val="24"/>
          <w:szCs w:val="20"/>
        </w:rPr>
        <w:t>7</w:t>
      </w:r>
      <w:r>
        <w:rPr>
          <w:rFonts w:ascii="Arial" w:hAnsi="Arial"/>
          <w:b/>
          <w:sz w:val="24"/>
          <w:szCs w:val="20"/>
          <w:vertAlign w:val="superscript"/>
          <w:lang w:val="en-GB" w:eastAsia="en-US"/>
        </w:rPr>
        <w:t>th</w:t>
      </w:r>
      <w:r>
        <w:rPr>
          <w:rFonts w:ascii="Arial" w:hAnsi="Arial"/>
          <w:b/>
          <w:sz w:val="24"/>
          <w:szCs w:val="20"/>
          <w:lang w:val="en-GB" w:eastAsia="en-US"/>
        </w:rPr>
        <w:t xml:space="preserve"> </w:t>
      </w:r>
      <w:r>
        <w:rPr>
          <w:rFonts w:ascii="Arial" w:eastAsia="宋体" w:hAnsi="Arial" w:hint="eastAsia"/>
          <w:b/>
          <w:sz w:val="24"/>
          <w:szCs w:val="20"/>
        </w:rPr>
        <w:t xml:space="preserve">May </w:t>
      </w:r>
      <w:r>
        <w:rPr>
          <w:rFonts w:ascii="Arial" w:hAnsi="Arial"/>
          <w:b/>
          <w:sz w:val="24"/>
          <w:szCs w:val="20"/>
          <w:lang w:val="en-GB" w:eastAsia="en-US"/>
        </w:rPr>
        <w:t>201</w:t>
      </w:r>
      <w:bookmarkEnd w:id="0"/>
      <w:r>
        <w:rPr>
          <w:rFonts w:ascii="Arial" w:hAnsi="Arial"/>
          <w:b/>
          <w:sz w:val="24"/>
          <w:szCs w:val="20"/>
          <w:lang w:val="en-GB" w:eastAsia="en-US"/>
        </w:rPr>
        <w:t>9</w:t>
      </w:r>
    </w:p>
    <w:p w14:paraId="330B366C" w14:textId="17F50F1B" w:rsidR="00B74A72" w:rsidRDefault="00881669">
      <w:pPr>
        <w:pStyle w:val="ae"/>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ZTE Corporation, Sanechips, China Southern Power Grid Co., Ltd</w:t>
      </w:r>
    </w:p>
    <w:p w14:paraId="50338A13" w14:textId="77777777" w:rsidR="00B74A72" w:rsidRDefault="00881669">
      <w:pPr>
        <w:pStyle w:val="ae"/>
        <w:tabs>
          <w:tab w:val="clear" w:pos="4536"/>
        </w:tabs>
        <w:spacing w:beforeLines="50" w:before="120" w:afterLines="50" w:after="120"/>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5" w:name="OLE_LINK19"/>
      <w:r>
        <w:rPr>
          <w:rFonts w:eastAsia="宋体" w:hint="eastAsia"/>
          <w:sz w:val="24"/>
          <w:szCs w:val="22"/>
          <w:lang w:eastAsia="zh-CN"/>
        </w:rPr>
        <w:t xml:space="preserve">  </w:t>
      </w:r>
      <w:bookmarkEnd w:id="5"/>
      <w:r w:rsidR="00C6696E" w:rsidRPr="00C6696E">
        <w:rPr>
          <w:rFonts w:eastAsia="宋体"/>
          <w:sz w:val="24"/>
          <w:szCs w:val="22"/>
          <w:lang w:eastAsia="zh-CN"/>
        </w:rPr>
        <w:t>Remaining issues for accurate reference timing delivery in TSC</w:t>
      </w:r>
    </w:p>
    <w:p w14:paraId="6444E79F" w14:textId="77777777" w:rsidR="00B74A72" w:rsidRDefault="00881669">
      <w:pPr>
        <w:pStyle w:val="ae"/>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sz w:val="24"/>
          <w:szCs w:val="22"/>
          <w:lang w:eastAsia="zh-CN"/>
        </w:rPr>
        <w:t>1</w:t>
      </w:r>
      <w:r>
        <w:rPr>
          <w:rFonts w:eastAsia="宋体" w:hint="eastAsia"/>
          <w:sz w:val="24"/>
          <w:szCs w:val="22"/>
          <w:lang w:eastAsia="zh-CN"/>
        </w:rPr>
        <w:t>1</w:t>
      </w:r>
      <w:r>
        <w:rPr>
          <w:rFonts w:eastAsia="宋体"/>
          <w:sz w:val="24"/>
          <w:szCs w:val="22"/>
          <w:lang w:eastAsia="zh-CN"/>
        </w:rPr>
        <w:t>.</w:t>
      </w:r>
      <w:r>
        <w:rPr>
          <w:rFonts w:eastAsia="宋体" w:hint="eastAsia"/>
          <w:sz w:val="24"/>
          <w:szCs w:val="22"/>
          <w:lang w:eastAsia="zh-CN"/>
        </w:rPr>
        <w:t>7</w:t>
      </w:r>
      <w:r>
        <w:rPr>
          <w:rFonts w:eastAsia="宋体"/>
          <w:sz w:val="24"/>
          <w:szCs w:val="22"/>
          <w:lang w:eastAsia="zh-CN"/>
        </w:rPr>
        <w:t>.2</w:t>
      </w:r>
      <w:r>
        <w:rPr>
          <w:rFonts w:eastAsia="宋体" w:hint="eastAsia"/>
          <w:sz w:val="24"/>
          <w:szCs w:val="22"/>
          <w:lang w:eastAsia="zh-CN"/>
        </w:rPr>
        <w:t>.1</w:t>
      </w:r>
    </w:p>
    <w:p w14:paraId="4276AE1B" w14:textId="77777777" w:rsidR="00B74A72" w:rsidRDefault="00881669">
      <w:pPr>
        <w:pStyle w:val="ae"/>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1"/>
    <w:bookmarkEnd w:id="2"/>
    <w:p w14:paraId="5E021880" w14:textId="77777777" w:rsidR="00B74A72" w:rsidRDefault="00B74A72">
      <w:pPr>
        <w:pBdr>
          <w:bottom w:val="single" w:sz="4" w:space="1" w:color="auto"/>
        </w:pBdr>
        <w:tabs>
          <w:tab w:val="left" w:pos="2552"/>
        </w:tabs>
        <w:spacing w:after="0" w:line="60" w:lineRule="exact"/>
        <w:rPr>
          <w:rFonts w:eastAsia="宋体"/>
          <w:sz w:val="24"/>
        </w:rPr>
      </w:pPr>
    </w:p>
    <w:p w14:paraId="1172C669" w14:textId="77777777" w:rsidR="00B74A72" w:rsidRDefault="00881669">
      <w:pPr>
        <w:pStyle w:val="1"/>
        <w:spacing w:before="120" w:after="120" w:line="360" w:lineRule="auto"/>
        <w:ind w:left="431" w:hanging="431"/>
        <w:rPr>
          <w:lang w:val="en-US"/>
        </w:rPr>
      </w:pPr>
      <w:r>
        <w:rPr>
          <w:lang w:val="en-US"/>
        </w:rPr>
        <w:t>Introduction</w:t>
      </w:r>
    </w:p>
    <w:p w14:paraId="7B3270CC" w14:textId="7737139F" w:rsidR="00B74A72" w:rsidRDefault="00881669">
      <w:pPr>
        <w:pStyle w:val="CRCoverPage"/>
        <w:spacing w:beforeLines="50" w:before="120" w:afterLines="50"/>
        <w:rPr>
          <w:rFonts w:ascii="Times New Roman" w:hAnsi="Times New Roman"/>
          <w:lang w:val="en-US" w:eastAsia="zh-CN"/>
        </w:rPr>
      </w:pPr>
      <w:r>
        <w:rPr>
          <w:rFonts w:ascii="Times New Roman" w:hAnsi="Times New Roman"/>
          <w:lang w:eastAsia="zh-CN"/>
        </w:rPr>
        <w:t xml:space="preserve">The </w:t>
      </w:r>
      <w:r>
        <w:rPr>
          <w:rFonts w:ascii="Times New Roman" w:hAnsi="Times New Roman"/>
          <w:lang w:val="en-US" w:eastAsia="zh-CN"/>
        </w:rPr>
        <w:t>new WID</w:t>
      </w:r>
      <w:r>
        <w:rPr>
          <w:rFonts w:ascii="Times New Roman" w:hAnsi="Times New Roman"/>
          <w:lang w:eastAsia="zh-CN"/>
        </w:rPr>
        <w:t xml:space="preserve"> of NR Industrial Internet of Things (IoT</w:t>
      </w:r>
      <w:r>
        <w:rPr>
          <w:rFonts w:ascii="Times New Roman" w:hAnsi="Times New Roman"/>
          <w:lang w:val="en-US" w:eastAsia="zh-CN"/>
        </w:rPr>
        <w:t>)</w:t>
      </w:r>
      <w:r>
        <w:rPr>
          <w:rFonts w:ascii="Times New Roman" w:hAnsi="Times New Roman"/>
          <w:lang w:eastAsia="zh-CN"/>
        </w:rPr>
        <w:t xml:space="preserve"> w</w:t>
      </w:r>
      <w:r>
        <w:rPr>
          <w:rFonts w:ascii="Times New Roman" w:hAnsi="Times New Roman" w:hint="eastAsia"/>
          <w:lang w:val="en-US" w:eastAsia="zh-CN"/>
        </w:rPr>
        <w:t>a</w:t>
      </w:r>
      <w:r>
        <w:rPr>
          <w:rFonts w:ascii="Times New Roman" w:hAnsi="Times New Roman"/>
          <w:lang w:val="en-US" w:eastAsia="zh-CN"/>
        </w:rPr>
        <w:t>s</w:t>
      </w:r>
      <w:r>
        <w:rPr>
          <w:rFonts w:ascii="Times New Roman" w:hAnsi="Times New Roman"/>
          <w:lang w:eastAsia="zh-CN"/>
        </w:rPr>
        <w:t xml:space="preserve"> approved in RAN#</w:t>
      </w:r>
      <w:r>
        <w:rPr>
          <w:rFonts w:ascii="Times New Roman" w:hAnsi="Times New Roman"/>
          <w:lang w:val="en-US" w:eastAsia="zh-CN"/>
        </w:rPr>
        <w:t>83</w:t>
      </w:r>
      <w:r>
        <w:rPr>
          <w:rFonts w:ascii="Times New Roman" w:hAnsi="Times New Roman"/>
          <w:lang w:eastAsia="zh-CN"/>
        </w:rPr>
        <w:t>[</w:t>
      </w:r>
      <w:r>
        <w:rPr>
          <w:rFonts w:ascii="Times New Roman" w:hAnsi="Times New Roman"/>
          <w:lang w:val="en-US" w:eastAsia="zh-CN"/>
        </w:rPr>
        <w:t>1</w:t>
      </w:r>
      <w:r>
        <w:rPr>
          <w:rFonts w:ascii="Times New Roman" w:hAnsi="Times New Roman"/>
          <w:lang w:eastAsia="zh-CN"/>
        </w:rPr>
        <w:t>]</w:t>
      </w:r>
      <w:r>
        <w:rPr>
          <w:rFonts w:ascii="Times New Roman" w:hAnsi="Times New Roman"/>
          <w:lang w:val="en-US" w:eastAsia="zh-CN"/>
        </w:rPr>
        <w:t xml:space="preserve">. In which, the following </w:t>
      </w:r>
      <w:r>
        <w:rPr>
          <w:rFonts w:ascii="Times New Roman" w:hAnsi="Times New Roman"/>
          <w:lang w:eastAsia="zh-CN"/>
        </w:rPr>
        <w:t xml:space="preserve">objective </w:t>
      </w:r>
      <w:r>
        <w:rPr>
          <w:rFonts w:ascii="Times New Roman" w:hAnsi="Times New Roman"/>
          <w:lang w:val="en-US" w:eastAsia="zh-CN"/>
        </w:rPr>
        <w:t>is included</w:t>
      </w:r>
      <w:r>
        <w:rPr>
          <w:rFonts w:ascii="Times New Roman" w:hAnsi="Times New Roman"/>
          <w:lang w:eastAsia="zh-CN"/>
        </w:rPr>
        <w:t>:</w:t>
      </w:r>
    </w:p>
    <w:tbl>
      <w:tblPr>
        <w:tblW w:w="9749"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9"/>
      </w:tblGrid>
      <w:tr w:rsidR="00B74A72" w14:paraId="570672B8" w14:textId="77777777">
        <w:tc>
          <w:tcPr>
            <w:tcW w:w="9749" w:type="dxa"/>
          </w:tcPr>
          <w:p w14:paraId="591E4D53" w14:textId="77777777" w:rsidR="00B74A72" w:rsidRDefault="00881669">
            <w:pPr>
              <w:spacing w:after="0"/>
              <w:ind w:left="360"/>
              <w:jc w:val="both"/>
              <w:rPr>
                <w:rFonts w:eastAsia="宋体"/>
                <w:bCs/>
                <w:i/>
                <w:sz w:val="20"/>
                <w:szCs w:val="20"/>
              </w:rPr>
            </w:pPr>
            <w:r>
              <w:rPr>
                <w:rFonts w:eastAsia="宋体"/>
                <w:bCs/>
                <w:i/>
                <w:sz w:val="20"/>
                <w:szCs w:val="20"/>
              </w:rPr>
              <w:t>...</w:t>
            </w:r>
          </w:p>
          <w:p w14:paraId="7A8955DF" w14:textId="77777777" w:rsidR="00B74A72" w:rsidRDefault="00881669">
            <w:pPr>
              <w:numPr>
                <w:ilvl w:val="0"/>
                <w:numId w:val="6"/>
              </w:numPr>
              <w:spacing w:after="0"/>
              <w:jc w:val="both"/>
              <w:rPr>
                <w:bCs/>
                <w:i/>
                <w:sz w:val="20"/>
                <w:szCs w:val="20"/>
              </w:rPr>
            </w:pPr>
            <w:r>
              <w:rPr>
                <w:bCs/>
                <w:i/>
                <w:sz w:val="20"/>
                <w:szCs w:val="20"/>
              </w:rPr>
              <w:t>The detailed objectives for NR TSC-related enhancements include:</w:t>
            </w:r>
          </w:p>
          <w:p w14:paraId="01B03B5C" w14:textId="77777777" w:rsidR="00B74A72" w:rsidRDefault="00881669">
            <w:pPr>
              <w:numPr>
                <w:ilvl w:val="0"/>
                <w:numId w:val="7"/>
              </w:numPr>
              <w:spacing w:after="0"/>
              <w:jc w:val="both"/>
              <w:rPr>
                <w:i/>
                <w:sz w:val="20"/>
                <w:szCs w:val="20"/>
              </w:rPr>
            </w:pPr>
            <w:r>
              <w:rPr>
                <w:i/>
                <w:sz w:val="20"/>
                <w:szCs w:val="20"/>
              </w:rPr>
              <w:t>Specify accurate reference timing delivery from gNB to UE using broadcast and unicast RRC signalling (with EUTRA Rel-15 signalling solution as baseline) for synchronization requirements defined in TS 22.104) [RAN2].</w:t>
            </w:r>
          </w:p>
          <w:p w14:paraId="60E1E8E6" w14:textId="77777777" w:rsidR="00B74A72" w:rsidRDefault="00881669">
            <w:pPr>
              <w:numPr>
                <w:ilvl w:val="0"/>
                <w:numId w:val="7"/>
              </w:numPr>
              <w:spacing w:after="0"/>
              <w:jc w:val="both"/>
              <w:rPr>
                <w:i/>
                <w:sz w:val="20"/>
                <w:szCs w:val="20"/>
              </w:rPr>
            </w:pPr>
            <w:r>
              <w:rPr>
                <w:i/>
                <w:sz w:val="20"/>
                <w:szCs w:val="20"/>
              </w:rPr>
              <w:t xml:space="preserve">Specify enhancements to satisfy QoS for wireless Ethernet when using TSC traffic patterns, including </w:t>
            </w:r>
          </w:p>
          <w:p w14:paraId="55B0AD67" w14:textId="77777777" w:rsidR="00B74A72" w:rsidRDefault="00881669">
            <w:pPr>
              <w:numPr>
                <w:ilvl w:val="1"/>
                <w:numId w:val="7"/>
              </w:numPr>
              <w:spacing w:after="0"/>
              <w:jc w:val="both"/>
              <w:rPr>
                <w:i/>
                <w:sz w:val="20"/>
                <w:szCs w:val="20"/>
              </w:rPr>
            </w:pPr>
            <w:r>
              <w:rPr>
                <w:i/>
                <w:sz w:val="20"/>
                <w:szCs w:val="20"/>
              </w:rPr>
              <w:t>Support of provisioning, from Core Network to RAN and between RAN nodes (e.g. upon handover), of UE’s TSC traffic pattern related information such as message periodicity, message size, message arrival time at gNB (DL) and UE (UL) [RAN3].</w:t>
            </w:r>
          </w:p>
          <w:p w14:paraId="75F91DD5" w14:textId="77777777" w:rsidR="00B74A72" w:rsidRDefault="00881669">
            <w:pPr>
              <w:numPr>
                <w:ilvl w:val="1"/>
                <w:numId w:val="7"/>
              </w:numPr>
              <w:spacing w:after="0"/>
              <w:jc w:val="both"/>
              <w:rPr>
                <w:i/>
                <w:sz w:val="20"/>
                <w:szCs w:val="20"/>
              </w:rPr>
            </w:pPr>
            <w:r>
              <w:rPr>
                <w:i/>
                <w:sz w:val="20"/>
                <w:szCs w:val="20"/>
              </w:rPr>
              <w:t>Support for multiple simultaneous active semi-persistent scheduling (SPS) configurations for a given BWP of a UE. [RAN2, RAN1].</w:t>
            </w:r>
          </w:p>
          <w:p w14:paraId="70FA7747" w14:textId="77777777" w:rsidR="00B74A72" w:rsidRDefault="00881669">
            <w:pPr>
              <w:numPr>
                <w:ilvl w:val="1"/>
                <w:numId w:val="7"/>
              </w:numPr>
              <w:spacing w:after="0"/>
              <w:jc w:val="both"/>
              <w:rPr>
                <w:i/>
                <w:sz w:val="20"/>
                <w:szCs w:val="20"/>
              </w:rPr>
            </w:pPr>
            <w:r>
              <w:rPr>
                <w:i/>
                <w:sz w:val="20"/>
                <w:szCs w:val="20"/>
              </w:rPr>
              <w:t>Support for shorter SPS periodicities than the existing ones [RAN2, RAN1].</w:t>
            </w:r>
          </w:p>
          <w:p w14:paraId="53BEC538" w14:textId="77777777" w:rsidR="00B74A72" w:rsidRDefault="00881669">
            <w:pPr>
              <w:numPr>
                <w:ilvl w:val="0"/>
                <w:numId w:val="7"/>
              </w:numPr>
              <w:spacing w:after="0"/>
              <w:jc w:val="both"/>
              <w:rPr>
                <w:i/>
                <w:sz w:val="20"/>
                <w:szCs w:val="20"/>
              </w:rPr>
            </w:pPr>
            <w:r>
              <w:rPr>
                <w:i/>
                <w:sz w:val="20"/>
                <w:szCs w:val="20"/>
              </w:rPr>
              <w:t>Address support for TSC message periodicities with non-integer multiple of NR supported CG/SPS periodicities, as captured in TR 38.825, section 6.5.2. [RAN2, RAN1].</w:t>
            </w:r>
          </w:p>
          <w:p w14:paraId="58A0DADF" w14:textId="77777777" w:rsidR="00B74A72" w:rsidRDefault="00881669">
            <w:pPr>
              <w:numPr>
                <w:ilvl w:val="0"/>
                <w:numId w:val="7"/>
              </w:numPr>
              <w:spacing w:after="0"/>
              <w:jc w:val="both"/>
              <w:rPr>
                <w:i/>
                <w:sz w:val="20"/>
                <w:szCs w:val="20"/>
              </w:rPr>
            </w:pPr>
            <w:r>
              <w:rPr>
                <w:i/>
                <w:sz w:val="20"/>
                <w:szCs w:val="20"/>
              </w:rPr>
              <w:t>Specify Ethernet header compression based on structure-aware algorithm [RAN2].</w:t>
            </w:r>
          </w:p>
          <w:p w14:paraId="2DF97B93" w14:textId="77777777" w:rsidR="00B74A72" w:rsidRDefault="00881669">
            <w:pPr>
              <w:numPr>
                <w:ilvl w:val="1"/>
                <w:numId w:val="7"/>
              </w:numPr>
              <w:spacing w:after="0"/>
              <w:jc w:val="both"/>
              <w:rPr>
                <w:i/>
                <w:sz w:val="20"/>
                <w:szCs w:val="20"/>
              </w:rPr>
            </w:pPr>
            <w:r>
              <w:rPr>
                <w:i/>
                <w:sz w:val="20"/>
                <w:szCs w:val="20"/>
              </w:rPr>
              <w:t>Ethernet header compression solution for LTE to be specified once the design principle for NR is agreed. The impacted LTE specifications to be added latest at RAN#85.</w:t>
            </w:r>
          </w:p>
        </w:tc>
      </w:tr>
    </w:tbl>
    <w:p w14:paraId="2D6BDF27" w14:textId="77777777" w:rsidR="00B74A72" w:rsidRDefault="00881669">
      <w:pPr>
        <w:spacing w:beforeLines="50" w:before="120" w:after="100"/>
        <w:rPr>
          <w:sz w:val="20"/>
          <w:szCs w:val="20"/>
          <w:lang w:val="en-GB"/>
        </w:rPr>
      </w:pPr>
      <w:r>
        <w:rPr>
          <w:rFonts w:eastAsia="宋体" w:hint="eastAsia"/>
          <w:sz w:val="20"/>
          <w:szCs w:val="20"/>
        </w:rPr>
        <w:t>In RAN2</w:t>
      </w:r>
      <w:r w:rsidR="00C6696E">
        <w:rPr>
          <w:rFonts w:eastAsia="宋体" w:hint="eastAsia"/>
          <w:sz w:val="20"/>
          <w:szCs w:val="20"/>
        </w:rPr>
        <w:t>#</w:t>
      </w:r>
      <w:r>
        <w:rPr>
          <w:rFonts w:eastAsia="宋体" w:hint="eastAsia"/>
          <w:sz w:val="20"/>
          <w:szCs w:val="20"/>
        </w:rPr>
        <w:t>105bis meeting</w:t>
      </w:r>
      <w:r w:rsidR="00C6696E">
        <w:rPr>
          <w:rFonts w:eastAsia="宋体"/>
          <w:sz w:val="20"/>
          <w:szCs w:val="20"/>
        </w:rPr>
        <w:t xml:space="preserve">, </w:t>
      </w:r>
      <w:r>
        <w:rPr>
          <w:sz w:val="20"/>
          <w:szCs w:val="20"/>
          <w:lang w:val="en-GB"/>
        </w:rPr>
        <w:t>based on the contributions</w:t>
      </w:r>
      <w:r>
        <w:rPr>
          <w:rFonts w:eastAsia="宋体"/>
          <w:sz w:val="20"/>
          <w:szCs w:val="20"/>
          <w:lang w:val="en-GB"/>
        </w:rPr>
        <w:t xml:space="preserve">, </w:t>
      </w:r>
      <w:r>
        <w:rPr>
          <w:sz w:val="20"/>
          <w:szCs w:val="20"/>
          <w:lang w:val="en-GB"/>
        </w:rPr>
        <w:t>the following agreements have been achieved:</w:t>
      </w:r>
    </w:p>
    <w:tbl>
      <w:tblPr>
        <w:tblW w:w="9762"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2"/>
      </w:tblGrid>
      <w:tr w:rsidR="00B74A72" w14:paraId="5B741F38" w14:textId="77777777">
        <w:tc>
          <w:tcPr>
            <w:tcW w:w="9762" w:type="dxa"/>
          </w:tcPr>
          <w:p w14:paraId="1E5C9AA2" w14:textId="77777777" w:rsidR="00B74A72" w:rsidRPr="00C6696E" w:rsidRDefault="00881669">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sidRPr="00C6696E">
              <w:rPr>
                <w:rFonts w:eastAsia="Times New Roman"/>
                <w:bCs/>
                <w:i/>
                <w:iCs/>
                <w:sz w:val="20"/>
                <w:szCs w:val="20"/>
                <w:lang w:eastAsia="ja-JP"/>
              </w:rPr>
              <w:t>Confirm that we use LTE rel-15 SIB and RRC unicast based methods for reference time delivery</w:t>
            </w:r>
          </w:p>
          <w:p w14:paraId="61A50CEB" w14:textId="77777777" w:rsidR="00B74A72" w:rsidRPr="00C6696E" w:rsidRDefault="00881669">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sidRPr="00C6696E">
              <w:rPr>
                <w:rFonts w:eastAsia="Times New Roman"/>
                <w:bCs/>
                <w:i/>
                <w:iCs/>
                <w:sz w:val="20"/>
                <w:szCs w:val="20"/>
                <w:lang w:eastAsia="ja-JP"/>
              </w:rPr>
              <w:t>The reference time information shall correspond to a reference SFN, explicitly indicated in unicast signalling, FFS if inferred from the transmission of the SIB for SIB signalling.</w:t>
            </w:r>
          </w:p>
          <w:p w14:paraId="13ED8BEF" w14:textId="77777777" w:rsidR="00B74A72" w:rsidRPr="00C6696E" w:rsidRDefault="00881669">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sidRPr="00C6696E">
              <w:rPr>
                <w:rFonts w:eastAsia="Times New Roman"/>
                <w:bCs/>
                <w:i/>
                <w:iCs/>
                <w:sz w:val="20"/>
                <w:szCs w:val="20"/>
                <w:lang w:eastAsia="ja-JP"/>
              </w:rPr>
              <w:t>R2 assumes the UE shall use the end of the reference SFN value as the precise point in time to which the reference time corresponds.</w:t>
            </w:r>
          </w:p>
          <w:p w14:paraId="1B1E0D45" w14:textId="77777777" w:rsidR="00B74A72" w:rsidRPr="00C6696E" w:rsidRDefault="00881669">
            <w:pPr>
              <w:numPr>
                <w:ilvl w:val="0"/>
                <w:numId w:val="8"/>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sidRPr="00C6696E">
              <w:rPr>
                <w:rFonts w:eastAsia="Times New Roman"/>
                <w:bCs/>
                <w:i/>
                <w:iCs/>
                <w:sz w:val="20"/>
                <w:szCs w:val="20"/>
                <w:lang w:eastAsia="ja-JP"/>
              </w:rPr>
              <w:t xml:space="preserve">FFS whether the reference SFN refers to time in the future, past or whether this need to mandated one way or another. </w:t>
            </w:r>
          </w:p>
          <w:p w14:paraId="6AEFC171" w14:textId="77777777" w:rsidR="00B74A72" w:rsidRPr="00C6696E" w:rsidRDefault="00881669">
            <w:pPr>
              <w:numPr>
                <w:ilvl w:val="0"/>
                <w:numId w:val="8"/>
              </w:numPr>
              <w:tabs>
                <w:tab w:val="left" w:pos="0"/>
                <w:tab w:val="left" w:pos="1619"/>
              </w:tabs>
              <w:overflowPunct w:val="0"/>
              <w:autoSpaceDE w:val="0"/>
              <w:autoSpaceDN w:val="0"/>
              <w:adjustRightInd w:val="0"/>
              <w:spacing w:after="40"/>
              <w:textAlignment w:val="baseline"/>
              <w:rPr>
                <w:bCs/>
                <w:i/>
                <w:iCs/>
                <w:sz w:val="20"/>
                <w:szCs w:val="20"/>
              </w:rPr>
            </w:pPr>
            <w:r w:rsidRPr="00C6696E">
              <w:rPr>
                <w:bCs/>
                <w:i/>
                <w:iCs/>
                <w:sz w:val="20"/>
                <w:szCs w:val="20"/>
              </w:rPr>
              <w:t xml:space="preserve">R2 assumes that some propagation delay compensation may be needed for distance &gt; 200m. </w:t>
            </w:r>
          </w:p>
          <w:p w14:paraId="0ADD00CB" w14:textId="77777777" w:rsidR="00B74A72" w:rsidRPr="00C6696E" w:rsidRDefault="00881669">
            <w:pPr>
              <w:numPr>
                <w:ilvl w:val="0"/>
                <w:numId w:val="8"/>
              </w:numPr>
              <w:tabs>
                <w:tab w:val="left" w:pos="0"/>
                <w:tab w:val="left" w:pos="1619"/>
              </w:tabs>
              <w:overflowPunct w:val="0"/>
              <w:autoSpaceDE w:val="0"/>
              <w:autoSpaceDN w:val="0"/>
              <w:adjustRightInd w:val="0"/>
              <w:spacing w:after="40"/>
              <w:textAlignment w:val="baseline"/>
              <w:rPr>
                <w:i/>
                <w:sz w:val="20"/>
                <w:szCs w:val="20"/>
              </w:rPr>
            </w:pPr>
            <w:r w:rsidRPr="00C6696E">
              <w:rPr>
                <w:bCs/>
                <w:i/>
                <w:iCs/>
                <w:sz w:val="20"/>
                <w:szCs w:val="20"/>
              </w:rPr>
              <w:t xml:space="preserve">FFS </w:t>
            </w:r>
            <w:r w:rsidRPr="00C6696E">
              <w:rPr>
                <w:rFonts w:eastAsia="Times New Roman"/>
                <w:bCs/>
                <w:i/>
                <w:iCs/>
                <w:sz w:val="20"/>
                <w:szCs w:val="20"/>
                <w:lang w:eastAsia="ja-JP"/>
              </w:rPr>
              <w:t xml:space="preserve">what </w:t>
            </w:r>
            <w:r w:rsidRPr="00C6696E">
              <w:rPr>
                <w:bCs/>
                <w:i/>
                <w:iCs/>
                <w:sz w:val="20"/>
                <w:szCs w:val="20"/>
              </w:rPr>
              <w:t xml:space="preserve">would be the method, e.g. based on </w:t>
            </w:r>
            <w:r w:rsidRPr="00C6696E">
              <w:rPr>
                <w:rFonts w:eastAsia="Times New Roman"/>
                <w:bCs/>
                <w:i/>
                <w:iCs/>
                <w:sz w:val="20"/>
                <w:szCs w:val="20"/>
                <w:lang w:eastAsia="ja-JP"/>
              </w:rPr>
              <w:t xml:space="preserve">current </w:t>
            </w:r>
            <w:r w:rsidRPr="00C6696E">
              <w:rPr>
                <w:bCs/>
                <w:i/>
                <w:iCs/>
                <w:sz w:val="20"/>
                <w:szCs w:val="20"/>
              </w:rPr>
              <w:t xml:space="preserve">TA, and whether this can be left for UE implementation or something need to be specified. </w:t>
            </w:r>
          </w:p>
        </w:tc>
      </w:tr>
    </w:tbl>
    <w:p w14:paraId="10DE9F62" w14:textId="77777777" w:rsidR="00B74A72" w:rsidRDefault="00881669">
      <w:pPr>
        <w:spacing w:beforeLines="50" w:before="120" w:after="100"/>
        <w:rPr>
          <w:sz w:val="20"/>
          <w:szCs w:val="20"/>
        </w:rPr>
      </w:pPr>
      <w:r>
        <w:rPr>
          <w:rFonts w:hint="eastAsia"/>
          <w:sz w:val="20"/>
          <w:szCs w:val="20"/>
        </w:rPr>
        <w:t xml:space="preserve">Some of the FFS have already been discussed in offline email discussion of </w:t>
      </w:r>
      <w:r w:rsidR="00C6696E">
        <w:rPr>
          <w:sz w:val="20"/>
          <w:szCs w:val="20"/>
        </w:rPr>
        <w:t>[</w:t>
      </w:r>
      <w:r>
        <w:rPr>
          <w:rFonts w:hint="eastAsia"/>
          <w:sz w:val="20"/>
          <w:szCs w:val="20"/>
        </w:rPr>
        <w:t>105bis#18 NR_IIoT Synchronisation</w:t>
      </w:r>
      <w:r w:rsidR="00C6696E">
        <w:rPr>
          <w:sz w:val="20"/>
          <w:szCs w:val="20"/>
        </w:rPr>
        <w:t>]</w:t>
      </w:r>
      <w:r>
        <w:rPr>
          <w:rFonts w:hint="eastAsia"/>
          <w:sz w:val="20"/>
          <w:szCs w:val="20"/>
        </w:rPr>
        <w:t xml:space="preserve">. </w:t>
      </w:r>
      <w:r>
        <w:rPr>
          <w:sz w:val="20"/>
          <w:szCs w:val="20"/>
        </w:rPr>
        <w:t xml:space="preserve">In this contribution, we will </w:t>
      </w:r>
      <w:r>
        <w:rPr>
          <w:rFonts w:eastAsia="宋体" w:hint="eastAsia"/>
          <w:sz w:val="20"/>
          <w:szCs w:val="20"/>
        </w:rPr>
        <w:t xml:space="preserve">further </w:t>
      </w:r>
      <w:r>
        <w:rPr>
          <w:sz w:val="20"/>
          <w:szCs w:val="20"/>
        </w:rPr>
        <w:t xml:space="preserve">discuss the </w:t>
      </w:r>
      <w:r w:rsidR="00C6696E">
        <w:rPr>
          <w:rFonts w:eastAsia="宋体"/>
          <w:sz w:val="20"/>
          <w:szCs w:val="20"/>
        </w:rPr>
        <w:t>r</w:t>
      </w:r>
      <w:r>
        <w:rPr>
          <w:rFonts w:eastAsia="宋体" w:hint="eastAsia"/>
          <w:sz w:val="20"/>
          <w:szCs w:val="20"/>
        </w:rPr>
        <w:t>emaining issues for accurate reference timing delivery in TSC</w:t>
      </w:r>
      <w:r>
        <w:rPr>
          <w:sz w:val="20"/>
          <w:szCs w:val="20"/>
        </w:rPr>
        <w:t>.</w:t>
      </w:r>
    </w:p>
    <w:p w14:paraId="479525A1" w14:textId="77777777" w:rsidR="00B74A72" w:rsidRDefault="00881669">
      <w:pPr>
        <w:pStyle w:val="1"/>
        <w:spacing w:before="120" w:after="120" w:line="360" w:lineRule="auto"/>
        <w:ind w:left="431" w:hanging="431"/>
        <w:rPr>
          <w:lang w:val="en-US"/>
        </w:rPr>
      </w:pPr>
      <w:r>
        <w:rPr>
          <w:lang w:val="en-US"/>
        </w:rPr>
        <w:lastRenderedPageBreak/>
        <w:t>Discussion</w:t>
      </w:r>
    </w:p>
    <w:p w14:paraId="3FD15FB7" w14:textId="77777777" w:rsidR="00B74A72" w:rsidRDefault="00881669" w:rsidP="00C6696E">
      <w:pPr>
        <w:spacing w:beforeLines="20" w:before="48" w:after="120"/>
        <w:rPr>
          <w:rFonts w:eastAsia="宋体"/>
          <w:sz w:val="20"/>
          <w:szCs w:val="20"/>
        </w:rPr>
      </w:pPr>
      <w:r>
        <w:rPr>
          <w:rFonts w:eastAsia="宋体"/>
          <w:sz w:val="20"/>
          <w:szCs w:val="20"/>
        </w:rPr>
        <w:t xml:space="preserve">It has already been agreed that the </w:t>
      </w:r>
      <w:r>
        <w:rPr>
          <w:sz w:val="20"/>
          <w:szCs w:val="20"/>
        </w:rPr>
        <w:t>accurate reference timing</w:t>
      </w:r>
      <w:r w:rsidR="00C6696E">
        <w:rPr>
          <w:sz w:val="20"/>
          <w:szCs w:val="20"/>
        </w:rPr>
        <w:t xml:space="preserve"> </w:t>
      </w:r>
      <w:r>
        <w:rPr>
          <w:rFonts w:eastAsia="宋体"/>
          <w:sz w:val="20"/>
          <w:szCs w:val="20"/>
        </w:rPr>
        <w:t>(</w:t>
      </w:r>
      <w:r>
        <w:rPr>
          <w:rFonts w:eastAsia="宋体"/>
          <w:i/>
          <w:iCs/>
          <w:sz w:val="20"/>
          <w:szCs w:val="20"/>
        </w:rPr>
        <w:t xml:space="preserve">time </w:t>
      </w:r>
      <w:r>
        <w:rPr>
          <w:rFonts w:eastAsia="宋体"/>
          <w:sz w:val="20"/>
          <w:szCs w:val="20"/>
        </w:rPr>
        <w:t>field)</w:t>
      </w:r>
      <w:r>
        <w:rPr>
          <w:sz w:val="20"/>
          <w:szCs w:val="20"/>
        </w:rPr>
        <w:t xml:space="preserve"> </w:t>
      </w:r>
      <w:r>
        <w:rPr>
          <w:rFonts w:eastAsia="宋体"/>
          <w:sz w:val="20"/>
          <w:szCs w:val="20"/>
        </w:rPr>
        <w:t xml:space="preserve">can be </w:t>
      </w:r>
      <w:r>
        <w:rPr>
          <w:sz w:val="20"/>
          <w:szCs w:val="20"/>
        </w:rPr>
        <w:t>deliver</w:t>
      </w:r>
      <w:r>
        <w:rPr>
          <w:rFonts w:eastAsia="宋体"/>
          <w:sz w:val="20"/>
          <w:szCs w:val="20"/>
        </w:rPr>
        <w:t>ed</w:t>
      </w:r>
      <w:r>
        <w:rPr>
          <w:sz w:val="20"/>
          <w:szCs w:val="20"/>
        </w:rPr>
        <w:t xml:space="preserve"> from gNB to UE</w:t>
      </w:r>
      <w:r>
        <w:rPr>
          <w:rFonts w:eastAsia="宋体"/>
          <w:sz w:val="20"/>
          <w:szCs w:val="20"/>
        </w:rPr>
        <w:t xml:space="preserve"> </w:t>
      </w:r>
      <w:r>
        <w:rPr>
          <w:sz w:val="20"/>
          <w:szCs w:val="20"/>
        </w:rPr>
        <w:t xml:space="preserve">using broadcast and unicast RRC </w:t>
      </w:r>
      <w:r w:rsidR="00C6696E">
        <w:rPr>
          <w:sz w:val="20"/>
          <w:szCs w:val="20"/>
        </w:rPr>
        <w:t>signaling</w:t>
      </w:r>
      <w:r>
        <w:rPr>
          <w:rFonts w:hint="eastAsia"/>
          <w:sz w:val="20"/>
          <w:szCs w:val="20"/>
        </w:rPr>
        <w:t xml:space="preserve">, and the </w:t>
      </w:r>
      <w:r>
        <w:rPr>
          <w:i/>
          <w:iCs/>
          <w:sz w:val="20"/>
          <w:szCs w:val="20"/>
        </w:rPr>
        <w:t xml:space="preserve">time </w:t>
      </w:r>
      <w:r>
        <w:rPr>
          <w:sz w:val="20"/>
          <w:szCs w:val="20"/>
        </w:rPr>
        <w:t>information should have granularity no higher than 50 ns</w:t>
      </w:r>
      <w:r>
        <w:rPr>
          <w:rFonts w:eastAsia="宋体" w:hint="eastAsia"/>
          <w:sz w:val="20"/>
          <w:szCs w:val="20"/>
        </w:rPr>
        <w:t>.</w:t>
      </w:r>
    </w:p>
    <w:p w14:paraId="5E51BB3B" w14:textId="77777777" w:rsidR="00B74A72" w:rsidRDefault="00881669" w:rsidP="00C6696E">
      <w:pPr>
        <w:spacing w:beforeLines="20" w:before="48" w:after="120"/>
        <w:rPr>
          <w:rFonts w:eastAsia="宋体"/>
          <w:sz w:val="20"/>
          <w:szCs w:val="20"/>
        </w:rPr>
      </w:pPr>
      <w:r>
        <w:rPr>
          <w:rFonts w:eastAsia="宋体" w:hint="eastAsia"/>
          <w:sz w:val="20"/>
          <w:szCs w:val="20"/>
        </w:rPr>
        <w:t>Based on the following consideration for CU-DU case</w:t>
      </w:r>
      <w:r>
        <w:rPr>
          <w:rFonts w:eastAsia="宋体" w:hint="eastAsia"/>
          <w:sz w:val="20"/>
          <w:szCs w:val="20"/>
        </w:rPr>
        <w:t>：</w:t>
      </w:r>
    </w:p>
    <w:p w14:paraId="0088B8C7" w14:textId="1C597FEC" w:rsidR="00B74A72" w:rsidRPr="00C6696E" w:rsidRDefault="00881669" w:rsidP="00C6696E">
      <w:pPr>
        <w:pStyle w:val="af7"/>
        <w:numPr>
          <w:ilvl w:val="0"/>
          <w:numId w:val="11"/>
        </w:numPr>
        <w:spacing w:beforeLines="20" w:before="48" w:after="120"/>
        <w:ind w:firstLineChars="0"/>
        <w:rPr>
          <w:rFonts w:eastAsia="宋体"/>
          <w:sz w:val="20"/>
          <w:szCs w:val="20"/>
        </w:rPr>
      </w:pPr>
      <w:r w:rsidRPr="00C6696E">
        <w:rPr>
          <w:rFonts w:eastAsia="宋体" w:hint="eastAsia"/>
          <w:sz w:val="20"/>
          <w:szCs w:val="20"/>
        </w:rPr>
        <w:t xml:space="preserve">The </w:t>
      </w:r>
      <w:r w:rsidRPr="00C6696E">
        <w:rPr>
          <w:rFonts w:eastAsia="宋体" w:hint="eastAsia"/>
          <w:i/>
          <w:iCs/>
          <w:sz w:val="20"/>
          <w:szCs w:val="20"/>
        </w:rPr>
        <w:t xml:space="preserve">time </w:t>
      </w:r>
      <w:r w:rsidRPr="00C6696E">
        <w:rPr>
          <w:rFonts w:eastAsia="宋体" w:hint="eastAsia"/>
          <w:sz w:val="20"/>
          <w:szCs w:val="20"/>
        </w:rPr>
        <w:t xml:space="preserve">information in </w:t>
      </w:r>
      <w:r w:rsidRPr="00C6696E">
        <w:rPr>
          <w:sz w:val="20"/>
          <w:szCs w:val="20"/>
        </w:rPr>
        <w:t xml:space="preserve">unicast RRC </w:t>
      </w:r>
      <w:r w:rsidR="00993074" w:rsidRPr="00C6696E">
        <w:rPr>
          <w:sz w:val="20"/>
          <w:szCs w:val="20"/>
        </w:rPr>
        <w:t>signaling</w:t>
      </w:r>
      <w:r w:rsidRPr="00C6696E">
        <w:rPr>
          <w:rFonts w:eastAsia="宋体" w:hint="eastAsia"/>
          <w:sz w:val="20"/>
          <w:szCs w:val="20"/>
        </w:rPr>
        <w:t xml:space="preserve"> is generated and scheduled in DU, and the </w:t>
      </w:r>
      <w:r w:rsidRPr="00C6696E">
        <w:rPr>
          <w:rFonts w:eastAsia="宋体" w:hint="eastAsia"/>
          <w:i/>
          <w:iCs/>
          <w:sz w:val="20"/>
          <w:szCs w:val="20"/>
        </w:rPr>
        <w:t xml:space="preserve">time </w:t>
      </w:r>
      <w:r w:rsidRPr="00C6696E">
        <w:rPr>
          <w:rFonts w:eastAsia="宋体" w:hint="eastAsia"/>
          <w:sz w:val="20"/>
          <w:szCs w:val="20"/>
        </w:rPr>
        <w:t xml:space="preserve">information in </w:t>
      </w:r>
      <w:r w:rsidRPr="00C6696E">
        <w:rPr>
          <w:sz w:val="20"/>
          <w:szCs w:val="20"/>
        </w:rPr>
        <w:t xml:space="preserve">unicast RRC </w:t>
      </w:r>
      <w:r w:rsidR="00993074" w:rsidRPr="00C6696E">
        <w:rPr>
          <w:sz w:val="20"/>
          <w:szCs w:val="20"/>
        </w:rPr>
        <w:t>signaling</w:t>
      </w:r>
      <w:r w:rsidRPr="00C6696E">
        <w:rPr>
          <w:rFonts w:eastAsia="宋体" w:hint="eastAsia"/>
          <w:sz w:val="20"/>
          <w:szCs w:val="20"/>
        </w:rPr>
        <w:t xml:space="preserve"> and in broadcast should be generated with the same time source, for both of which are used to synchronize the time between UE and gNB.</w:t>
      </w:r>
    </w:p>
    <w:p w14:paraId="182564D1" w14:textId="77777777" w:rsidR="00B74A72" w:rsidRPr="00C6696E" w:rsidRDefault="00881669" w:rsidP="00C6696E">
      <w:pPr>
        <w:pStyle w:val="af7"/>
        <w:numPr>
          <w:ilvl w:val="0"/>
          <w:numId w:val="11"/>
        </w:numPr>
        <w:spacing w:beforeLines="20" w:before="48" w:after="120"/>
        <w:ind w:firstLineChars="0"/>
        <w:rPr>
          <w:rFonts w:eastAsia="宋体"/>
          <w:sz w:val="20"/>
          <w:szCs w:val="20"/>
        </w:rPr>
      </w:pPr>
      <w:r w:rsidRPr="00C6696E">
        <w:rPr>
          <w:rFonts w:eastAsia="宋体" w:hint="eastAsia"/>
          <w:sz w:val="20"/>
          <w:szCs w:val="20"/>
        </w:rPr>
        <w:t xml:space="preserve">The </w:t>
      </w:r>
      <w:r w:rsidRPr="00C6696E">
        <w:rPr>
          <w:rFonts w:eastAsia="宋体" w:hint="eastAsia"/>
          <w:i/>
          <w:iCs/>
          <w:sz w:val="20"/>
          <w:szCs w:val="20"/>
        </w:rPr>
        <w:t xml:space="preserve">time </w:t>
      </w:r>
      <w:r w:rsidRPr="00C6696E">
        <w:rPr>
          <w:rFonts w:eastAsia="宋体" w:hint="eastAsia"/>
          <w:sz w:val="20"/>
          <w:szCs w:val="20"/>
        </w:rPr>
        <w:t>information in broadcast is time sensitive</w:t>
      </w:r>
      <w:r w:rsidR="00C6696E">
        <w:rPr>
          <w:rFonts w:eastAsia="宋体"/>
          <w:sz w:val="20"/>
          <w:szCs w:val="20"/>
        </w:rPr>
        <w:t xml:space="preserve"> </w:t>
      </w:r>
      <w:r w:rsidRPr="00C6696E">
        <w:rPr>
          <w:rFonts w:eastAsia="宋体" w:hint="eastAsia"/>
          <w:sz w:val="20"/>
          <w:szCs w:val="20"/>
        </w:rPr>
        <w:t xml:space="preserve">(e.g. with granularity </w:t>
      </w:r>
      <w:r w:rsidRPr="00C6696E">
        <w:rPr>
          <w:sz w:val="20"/>
          <w:szCs w:val="20"/>
        </w:rPr>
        <w:t>no higher than 50 ns</w:t>
      </w:r>
      <w:r w:rsidRPr="00C6696E">
        <w:rPr>
          <w:rFonts w:eastAsia="宋体" w:hint="eastAsia"/>
          <w:sz w:val="20"/>
          <w:szCs w:val="20"/>
        </w:rPr>
        <w:t xml:space="preserve">), which usually indicates the </w:t>
      </w:r>
      <w:r w:rsidRPr="00C6696E">
        <w:rPr>
          <w:rFonts w:eastAsia="宋体" w:hint="eastAsia"/>
          <w:sz w:val="20"/>
          <w:szCs w:val="20"/>
          <w:lang w:eastAsia="en-GB"/>
        </w:rPr>
        <w:t>time</w:t>
      </w:r>
      <w:r w:rsidRPr="00C6696E">
        <w:rPr>
          <w:rFonts w:eastAsia="宋体" w:hint="eastAsia"/>
          <w:sz w:val="20"/>
          <w:szCs w:val="20"/>
        </w:rPr>
        <w:t xml:space="preserve"> of </w:t>
      </w:r>
      <w:r w:rsidRPr="00C6696E">
        <w:rPr>
          <w:rFonts w:eastAsia="宋体" w:hint="eastAsia"/>
          <w:sz w:val="20"/>
          <w:szCs w:val="20"/>
          <w:lang w:eastAsia="ja-JP"/>
        </w:rPr>
        <w:t xml:space="preserve">the ending boundary of the SI-window in which </w:t>
      </w:r>
      <w:r w:rsidRPr="00C6696E">
        <w:rPr>
          <w:rFonts w:eastAsia="宋体"/>
          <w:sz w:val="20"/>
          <w:szCs w:val="20"/>
          <w:lang w:eastAsia="ja-JP"/>
        </w:rPr>
        <w:t xml:space="preserve">the SIB carrying the </w:t>
      </w:r>
      <w:r w:rsidRPr="00C6696E">
        <w:rPr>
          <w:rFonts w:eastAsia="宋体" w:hint="eastAsia"/>
          <w:i/>
          <w:iCs/>
          <w:sz w:val="20"/>
          <w:szCs w:val="20"/>
        </w:rPr>
        <w:t xml:space="preserve">time </w:t>
      </w:r>
      <w:r w:rsidRPr="00C6696E">
        <w:rPr>
          <w:rFonts w:eastAsia="宋体" w:hint="eastAsia"/>
          <w:sz w:val="20"/>
          <w:szCs w:val="20"/>
        </w:rPr>
        <w:t>information</w:t>
      </w:r>
      <w:r w:rsidRPr="00C6696E">
        <w:rPr>
          <w:rFonts w:eastAsia="宋体"/>
          <w:sz w:val="20"/>
          <w:szCs w:val="20"/>
          <w:lang w:eastAsia="ja-JP"/>
        </w:rPr>
        <w:t xml:space="preserve"> </w:t>
      </w:r>
      <w:r w:rsidRPr="00C6696E">
        <w:rPr>
          <w:rFonts w:eastAsia="宋体" w:hint="eastAsia"/>
          <w:sz w:val="20"/>
          <w:szCs w:val="20"/>
          <w:lang w:eastAsia="ja-JP"/>
        </w:rPr>
        <w:t>is transmitted</w:t>
      </w:r>
      <w:r w:rsidRPr="00C6696E">
        <w:rPr>
          <w:rFonts w:eastAsia="宋体" w:hint="eastAsia"/>
          <w:sz w:val="20"/>
          <w:szCs w:val="20"/>
        </w:rPr>
        <w:t xml:space="preserve">. Furthermore, SIBx are scheduled in DU, and only the scheduling unit can know in which SI window the SIB for </w:t>
      </w:r>
      <w:r w:rsidRPr="00C6696E">
        <w:rPr>
          <w:rFonts w:eastAsia="宋体" w:hint="eastAsia"/>
          <w:i/>
          <w:iCs/>
          <w:sz w:val="20"/>
          <w:szCs w:val="20"/>
        </w:rPr>
        <w:t xml:space="preserve">time </w:t>
      </w:r>
      <w:r w:rsidRPr="00C6696E">
        <w:rPr>
          <w:rFonts w:eastAsia="宋体" w:hint="eastAsia"/>
          <w:sz w:val="20"/>
          <w:szCs w:val="20"/>
        </w:rPr>
        <w:t>information is scheduled.</w:t>
      </w:r>
    </w:p>
    <w:p w14:paraId="6D995415" w14:textId="1B9B47A2" w:rsidR="00B74A72" w:rsidRDefault="001A3E56" w:rsidP="00C6696E">
      <w:pPr>
        <w:spacing w:beforeLines="20" w:before="48" w:after="120"/>
        <w:rPr>
          <w:rFonts w:eastAsia="宋体"/>
          <w:sz w:val="20"/>
          <w:szCs w:val="20"/>
        </w:rPr>
      </w:pPr>
      <w:r>
        <w:rPr>
          <w:rFonts w:eastAsia="宋体"/>
          <w:sz w:val="20"/>
          <w:szCs w:val="20"/>
        </w:rPr>
        <w:t>It’s suggested that t</w:t>
      </w:r>
      <w:r w:rsidR="00881669">
        <w:rPr>
          <w:rFonts w:eastAsia="宋体"/>
          <w:sz w:val="20"/>
          <w:szCs w:val="20"/>
        </w:rPr>
        <w:t xml:space="preserve">he </w:t>
      </w:r>
      <w:r w:rsidR="00881669">
        <w:rPr>
          <w:rFonts w:eastAsia="宋体" w:hint="eastAsia"/>
          <w:i/>
          <w:iCs/>
          <w:sz w:val="20"/>
          <w:szCs w:val="20"/>
        </w:rPr>
        <w:t xml:space="preserve">time </w:t>
      </w:r>
      <w:r w:rsidR="00881669">
        <w:rPr>
          <w:rFonts w:eastAsia="宋体" w:hint="eastAsia"/>
          <w:sz w:val="20"/>
          <w:szCs w:val="20"/>
        </w:rPr>
        <w:t>information in broadcast should be generated and scheduled in DU for CU-DU case</w:t>
      </w:r>
      <w:r w:rsidR="00881669">
        <w:rPr>
          <w:rFonts w:eastAsia="宋体"/>
          <w:sz w:val="20"/>
          <w:szCs w:val="20"/>
        </w:rPr>
        <w:t>.</w:t>
      </w:r>
    </w:p>
    <w:p w14:paraId="2E3B8AC6" w14:textId="77777777" w:rsidR="00B74A72" w:rsidRDefault="00881669" w:rsidP="00C6696E">
      <w:pPr>
        <w:spacing w:beforeLines="20" w:before="48" w:after="120"/>
        <w:rPr>
          <w:rFonts w:eastAsia="Malgun Gothic"/>
          <w:b/>
          <w:bCs/>
          <w:sz w:val="20"/>
          <w:szCs w:val="20"/>
          <w:lang w:eastAsia="ko-KR"/>
        </w:rPr>
      </w:pPr>
      <w:r>
        <w:rPr>
          <w:rFonts w:eastAsia="宋体" w:hint="eastAsia"/>
          <w:b/>
          <w:bCs/>
          <w:sz w:val="20"/>
          <w:szCs w:val="20"/>
        </w:rPr>
        <w:t>Observation 1</w:t>
      </w:r>
      <w:r>
        <w:rPr>
          <w:b/>
          <w:bCs/>
          <w:sz w:val="20"/>
          <w:szCs w:val="20"/>
        </w:rPr>
        <w:t xml:space="preserve">: </w:t>
      </w:r>
      <w:r>
        <w:rPr>
          <w:rFonts w:eastAsia="宋体" w:hint="eastAsia"/>
          <w:b/>
          <w:bCs/>
          <w:sz w:val="20"/>
          <w:szCs w:val="20"/>
        </w:rPr>
        <w:t xml:space="preserve">The </w:t>
      </w:r>
      <w:r>
        <w:rPr>
          <w:rFonts w:eastAsia="宋体" w:hint="eastAsia"/>
          <w:b/>
          <w:bCs/>
          <w:i/>
          <w:iCs/>
          <w:sz w:val="20"/>
          <w:szCs w:val="20"/>
        </w:rPr>
        <w:t xml:space="preserve">time </w:t>
      </w:r>
      <w:r>
        <w:rPr>
          <w:rFonts w:eastAsia="宋体" w:hint="eastAsia"/>
          <w:b/>
          <w:bCs/>
          <w:sz w:val="20"/>
          <w:szCs w:val="20"/>
        </w:rPr>
        <w:t>information in broadcast should be generated and scheduled in DU for CU-DU case</w:t>
      </w:r>
      <w:r>
        <w:rPr>
          <w:rFonts w:eastAsia="Malgun Gothic"/>
          <w:b/>
          <w:bCs/>
          <w:sz w:val="20"/>
          <w:szCs w:val="20"/>
          <w:lang w:eastAsia="ko-KR"/>
        </w:rPr>
        <w:t>.</w:t>
      </w:r>
    </w:p>
    <w:p w14:paraId="3D47A7C5" w14:textId="10B47428" w:rsidR="00B74A72" w:rsidRDefault="00881669" w:rsidP="00C6696E">
      <w:pPr>
        <w:spacing w:beforeLines="20" w:before="48" w:after="120"/>
        <w:rPr>
          <w:sz w:val="20"/>
          <w:szCs w:val="20"/>
        </w:rPr>
      </w:pPr>
      <w:r>
        <w:rPr>
          <w:rFonts w:eastAsia="宋体"/>
          <w:sz w:val="20"/>
          <w:szCs w:val="20"/>
        </w:rPr>
        <w:t xml:space="preserve">Basically, SIB9 can be extended for </w:t>
      </w:r>
      <w:r>
        <w:rPr>
          <w:sz w:val="20"/>
          <w:szCs w:val="20"/>
        </w:rPr>
        <w:t>accurate reference timing delivery as like SIB16 in LTE.</w:t>
      </w:r>
      <w:r>
        <w:rPr>
          <w:rFonts w:eastAsia="宋体"/>
          <w:sz w:val="20"/>
          <w:szCs w:val="20"/>
        </w:rPr>
        <w:t xml:space="preserve"> But </w:t>
      </w:r>
      <w:r w:rsidR="00C6696E">
        <w:rPr>
          <w:rFonts w:eastAsia="宋体"/>
          <w:sz w:val="20"/>
          <w:szCs w:val="20"/>
        </w:rPr>
        <w:t>according to</w:t>
      </w:r>
      <w:r>
        <w:rPr>
          <w:rFonts w:eastAsia="宋体"/>
          <w:sz w:val="20"/>
          <w:szCs w:val="20"/>
        </w:rPr>
        <w:t xml:space="preserve"> the F1AP specification, SIB9 is generated in CU, which is not suitable for </w:t>
      </w:r>
      <w:r>
        <w:rPr>
          <w:sz w:val="20"/>
          <w:szCs w:val="20"/>
        </w:rPr>
        <w:t>accurate reference timing</w:t>
      </w:r>
      <w:r w:rsidR="00C6696E">
        <w:rPr>
          <w:sz w:val="20"/>
          <w:szCs w:val="20"/>
        </w:rPr>
        <w:t xml:space="preserve"> </w:t>
      </w:r>
      <w:r>
        <w:rPr>
          <w:rFonts w:eastAsia="宋体"/>
          <w:sz w:val="20"/>
          <w:szCs w:val="20"/>
        </w:rPr>
        <w:t>(</w:t>
      </w:r>
      <w:r>
        <w:rPr>
          <w:rFonts w:eastAsia="宋体"/>
          <w:i/>
          <w:iCs/>
          <w:sz w:val="20"/>
          <w:szCs w:val="20"/>
        </w:rPr>
        <w:t xml:space="preserve">time </w:t>
      </w:r>
      <w:r>
        <w:rPr>
          <w:rFonts w:eastAsia="宋体"/>
          <w:sz w:val="20"/>
          <w:szCs w:val="20"/>
        </w:rPr>
        <w:t xml:space="preserve">field). </w:t>
      </w:r>
    </w:p>
    <w:p w14:paraId="00FC023E" w14:textId="7A402767" w:rsidR="00B74A72" w:rsidRDefault="00881669" w:rsidP="00C6696E">
      <w:pPr>
        <w:spacing w:beforeLines="20" w:before="48" w:after="120"/>
        <w:rPr>
          <w:rFonts w:eastAsia="Malgun Gothic"/>
          <w:b/>
          <w:bCs/>
          <w:sz w:val="20"/>
          <w:szCs w:val="20"/>
          <w:lang w:eastAsia="ko-KR"/>
        </w:rPr>
      </w:pPr>
      <w:r>
        <w:rPr>
          <w:rFonts w:eastAsia="宋体" w:hint="eastAsia"/>
          <w:b/>
          <w:bCs/>
          <w:sz w:val="20"/>
          <w:szCs w:val="20"/>
        </w:rPr>
        <w:t xml:space="preserve">Observation </w:t>
      </w:r>
      <w:r>
        <w:rPr>
          <w:rFonts w:eastAsia="宋体"/>
          <w:b/>
          <w:bCs/>
          <w:sz w:val="20"/>
          <w:szCs w:val="20"/>
        </w:rPr>
        <w:t>2</w:t>
      </w:r>
      <w:r>
        <w:rPr>
          <w:b/>
          <w:bCs/>
          <w:sz w:val="20"/>
          <w:szCs w:val="20"/>
        </w:rPr>
        <w:t xml:space="preserve">: </w:t>
      </w:r>
      <w:r>
        <w:rPr>
          <w:rFonts w:eastAsia="宋体"/>
          <w:b/>
          <w:bCs/>
          <w:sz w:val="20"/>
          <w:szCs w:val="20"/>
        </w:rPr>
        <w:t xml:space="preserve">SIB9 is generated in CU, which is not suitable for </w:t>
      </w:r>
      <w:r>
        <w:rPr>
          <w:b/>
          <w:bCs/>
          <w:sz w:val="20"/>
          <w:szCs w:val="20"/>
        </w:rPr>
        <w:t>accurate reference timing</w:t>
      </w:r>
      <w:r w:rsidR="00C03CDB">
        <w:rPr>
          <w:b/>
          <w:bCs/>
          <w:sz w:val="20"/>
          <w:szCs w:val="20"/>
        </w:rPr>
        <w:t xml:space="preserve"> </w:t>
      </w:r>
      <w:r w:rsidR="00B25B74" w:rsidRPr="00B25B74">
        <w:rPr>
          <w:b/>
          <w:bCs/>
          <w:sz w:val="20"/>
          <w:szCs w:val="20"/>
        </w:rPr>
        <w:t>delivery</w:t>
      </w:r>
      <w:r>
        <w:rPr>
          <w:rFonts w:eastAsia="Malgun Gothic"/>
          <w:b/>
          <w:bCs/>
          <w:sz w:val="20"/>
          <w:szCs w:val="20"/>
          <w:lang w:eastAsia="ko-KR"/>
        </w:rPr>
        <w:t>.</w:t>
      </w:r>
    </w:p>
    <w:p w14:paraId="5EEEB78C" w14:textId="37FA3D3A" w:rsidR="00C6696E" w:rsidRDefault="00C6696E" w:rsidP="00C6696E">
      <w:pPr>
        <w:spacing w:beforeLines="20" w:before="48" w:after="120"/>
        <w:rPr>
          <w:rFonts w:eastAsia="Malgun Gothic"/>
          <w:b/>
          <w:bCs/>
          <w:sz w:val="20"/>
          <w:szCs w:val="20"/>
          <w:lang w:eastAsia="ko-KR"/>
        </w:rPr>
      </w:pPr>
      <w:r>
        <w:rPr>
          <w:rFonts w:eastAsia="宋体"/>
          <w:sz w:val="20"/>
          <w:szCs w:val="20"/>
        </w:rPr>
        <w:t xml:space="preserve">For simplicity, a </w:t>
      </w:r>
      <w:r w:rsidR="00B25B74">
        <w:rPr>
          <w:rFonts w:eastAsia="宋体" w:hint="eastAsia"/>
          <w:sz w:val="20"/>
          <w:szCs w:val="20"/>
        </w:rPr>
        <w:t>new</w:t>
      </w:r>
      <w:r w:rsidR="00B25B74">
        <w:rPr>
          <w:rFonts w:eastAsia="宋体"/>
          <w:sz w:val="20"/>
          <w:szCs w:val="20"/>
        </w:rPr>
        <w:t xml:space="preserve"> </w:t>
      </w:r>
      <w:r>
        <w:rPr>
          <w:rFonts w:eastAsia="宋体"/>
          <w:sz w:val="20"/>
          <w:szCs w:val="20"/>
        </w:rPr>
        <w:t xml:space="preserve">SIB9Bis generated in DU can be used for </w:t>
      </w:r>
      <w:r>
        <w:rPr>
          <w:sz w:val="20"/>
          <w:szCs w:val="20"/>
        </w:rPr>
        <w:t xml:space="preserve">accurate reference timing </w:t>
      </w:r>
      <w:r>
        <w:rPr>
          <w:rFonts w:eastAsia="宋体"/>
          <w:sz w:val="20"/>
          <w:szCs w:val="20"/>
        </w:rPr>
        <w:t>(</w:t>
      </w:r>
      <w:r>
        <w:rPr>
          <w:rFonts w:eastAsia="宋体"/>
          <w:i/>
          <w:iCs/>
          <w:sz w:val="20"/>
          <w:szCs w:val="20"/>
        </w:rPr>
        <w:t xml:space="preserve">time </w:t>
      </w:r>
      <w:r>
        <w:rPr>
          <w:rFonts w:eastAsia="宋体"/>
          <w:sz w:val="20"/>
          <w:szCs w:val="20"/>
        </w:rPr>
        <w:t>field)</w:t>
      </w:r>
      <w:r>
        <w:rPr>
          <w:sz w:val="20"/>
          <w:szCs w:val="20"/>
        </w:rPr>
        <w:t xml:space="preserve"> delivery from gNB to UE</w:t>
      </w:r>
      <w:r>
        <w:rPr>
          <w:rFonts w:eastAsia="宋体"/>
          <w:sz w:val="20"/>
          <w:szCs w:val="20"/>
        </w:rPr>
        <w:t xml:space="preserve"> </w:t>
      </w:r>
      <w:r w:rsidR="00B25B74" w:rsidRPr="00B25B74">
        <w:rPr>
          <w:rFonts w:eastAsia="宋体" w:hint="eastAsia"/>
          <w:sz w:val="20"/>
          <w:szCs w:val="20"/>
        </w:rPr>
        <w:t>by</w:t>
      </w:r>
      <w:r w:rsidRPr="00B25B74">
        <w:rPr>
          <w:rFonts w:eastAsia="宋体"/>
          <w:sz w:val="20"/>
          <w:szCs w:val="20"/>
        </w:rPr>
        <w:t xml:space="preserve"> bro</w:t>
      </w:r>
      <w:r>
        <w:rPr>
          <w:sz w:val="20"/>
          <w:szCs w:val="20"/>
        </w:rPr>
        <w:t>adcast.</w:t>
      </w:r>
    </w:p>
    <w:p w14:paraId="07046A74" w14:textId="2E903CEE" w:rsidR="00B74A72" w:rsidRDefault="00881669" w:rsidP="00C6696E">
      <w:pPr>
        <w:spacing w:beforeLines="20" w:before="48" w:after="120"/>
        <w:rPr>
          <w:rFonts w:eastAsia="Malgun Gothic"/>
          <w:b/>
          <w:bCs/>
          <w:sz w:val="20"/>
          <w:szCs w:val="20"/>
        </w:rPr>
      </w:pPr>
      <w:r>
        <w:rPr>
          <w:rFonts w:eastAsia="Malgun Gothic"/>
          <w:b/>
          <w:bCs/>
          <w:sz w:val="20"/>
          <w:szCs w:val="20"/>
        </w:rPr>
        <w:t xml:space="preserve">Proposal 1: </w:t>
      </w:r>
      <w:r w:rsidR="00C6696E">
        <w:rPr>
          <w:rFonts w:eastAsia="Malgun Gothic"/>
          <w:b/>
          <w:bCs/>
          <w:sz w:val="20"/>
          <w:szCs w:val="20"/>
        </w:rPr>
        <w:t xml:space="preserve">It’s suggested to introduce a </w:t>
      </w:r>
      <w:r>
        <w:rPr>
          <w:rFonts w:eastAsia="Malgun Gothic"/>
          <w:b/>
          <w:bCs/>
          <w:sz w:val="20"/>
          <w:szCs w:val="20"/>
        </w:rPr>
        <w:t>new SIB</w:t>
      </w:r>
      <w:r w:rsidR="00C6696E">
        <w:rPr>
          <w:rFonts w:eastAsia="Malgun Gothic"/>
          <w:b/>
          <w:bCs/>
          <w:sz w:val="20"/>
          <w:szCs w:val="20"/>
        </w:rPr>
        <w:t xml:space="preserve"> </w:t>
      </w:r>
      <w:r>
        <w:rPr>
          <w:rFonts w:eastAsia="Malgun Gothic"/>
          <w:b/>
          <w:bCs/>
          <w:sz w:val="20"/>
          <w:szCs w:val="20"/>
        </w:rPr>
        <w:t xml:space="preserve">(e.g. SIB9Bis) </w:t>
      </w:r>
      <w:r w:rsidR="00C6696E" w:rsidRPr="00C6696E">
        <w:rPr>
          <w:rFonts w:eastAsia="宋体"/>
          <w:b/>
          <w:sz w:val="20"/>
          <w:szCs w:val="20"/>
        </w:rPr>
        <w:t>generated in DU</w:t>
      </w:r>
      <w:r w:rsidR="00C6696E">
        <w:rPr>
          <w:rFonts w:eastAsia="Malgun Gothic"/>
          <w:b/>
          <w:bCs/>
          <w:sz w:val="20"/>
          <w:szCs w:val="20"/>
        </w:rPr>
        <w:t xml:space="preserve"> </w:t>
      </w:r>
      <w:r>
        <w:rPr>
          <w:rFonts w:eastAsia="Malgun Gothic"/>
          <w:b/>
          <w:bCs/>
          <w:sz w:val="20"/>
          <w:szCs w:val="20"/>
        </w:rPr>
        <w:t xml:space="preserve">for </w:t>
      </w:r>
      <w:r>
        <w:rPr>
          <w:b/>
          <w:bCs/>
          <w:sz w:val="20"/>
          <w:szCs w:val="20"/>
        </w:rPr>
        <w:t>accurate reference timing</w:t>
      </w:r>
      <w:r w:rsidR="001A3E56" w:rsidRPr="001A3E56">
        <w:rPr>
          <w:b/>
          <w:bCs/>
          <w:sz w:val="20"/>
          <w:szCs w:val="20"/>
        </w:rPr>
        <w:t xml:space="preserve"> </w:t>
      </w:r>
      <w:r w:rsidR="001A3E56" w:rsidRPr="001A3E56">
        <w:rPr>
          <w:b/>
          <w:sz w:val="20"/>
          <w:szCs w:val="20"/>
        </w:rPr>
        <w:t>delivery</w:t>
      </w:r>
      <w:r>
        <w:rPr>
          <w:rFonts w:eastAsia="宋体"/>
          <w:b/>
          <w:bCs/>
          <w:sz w:val="20"/>
          <w:szCs w:val="20"/>
        </w:rPr>
        <w:t>.</w:t>
      </w:r>
      <w:r>
        <w:rPr>
          <w:b/>
          <w:bCs/>
          <w:sz w:val="20"/>
          <w:szCs w:val="20"/>
        </w:rPr>
        <w:t xml:space="preserve"> </w:t>
      </w:r>
    </w:p>
    <w:p w14:paraId="4F7494FE" w14:textId="77777777" w:rsidR="00B74A72" w:rsidRDefault="00881669" w:rsidP="00C6696E">
      <w:pPr>
        <w:spacing w:beforeLines="20" w:before="48" w:after="120"/>
        <w:rPr>
          <w:rFonts w:eastAsia="宋体"/>
          <w:sz w:val="20"/>
          <w:szCs w:val="20"/>
        </w:rPr>
      </w:pPr>
      <w:r>
        <w:rPr>
          <w:rFonts w:eastAsia="宋体"/>
          <w:sz w:val="20"/>
          <w:szCs w:val="20"/>
        </w:rPr>
        <w:t>It has been agreed</w:t>
      </w:r>
      <w:r w:rsidR="001A3E56">
        <w:rPr>
          <w:rFonts w:eastAsia="宋体"/>
          <w:sz w:val="20"/>
          <w:szCs w:val="20"/>
        </w:rPr>
        <w:t xml:space="preserve"> during SI stage</w:t>
      </w:r>
      <w:r>
        <w:rPr>
          <w:rFonts w:eastAsia="宋体"/>
          <w:sz w:val="20"/>
          <w:szCs w:val="20"/>
        </w:rPr>
        <w:t>[2] that the propagation delay compensation needs to be applied by the TSN UEs for larger service areas with more sparse cell deployments (e</w:t>
      </w:r>
      <w:r>
        <w:rPr>
          <w:sz w:val="20"/>
          <w:szCs w:val="20"/>
        </w:rPr>
        <w:t>.g. for inter-site distances &gt;200m the gNB-to-UE timing synchronization accuracy without propagation delay compensation may be worse than 1us)</w:t>
      </w:r>
      <w:r>
        <w:rPr>
          <w:rFonts w:eastAsia="宋体"/>
          <w:sz w:val="20"/>
          <w:szCs w:val="20"/>
        </w:rPr>
        <w:t xml:space="preserve">. Usually, </w:t>
      </w:r>
      <w:r>
        <w:rPr>
          <w:position w:val="-10"/>
          <w:sz w:val="20"/>
          <w:szCs w:val="20"/>
        </w:rPr>
        <w:object w:dxaOrig="439" w:dyaOrig="281" w14:anchorId="7983DD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3.85pt" o:ole="">
            <v:imagedata r:id="rId9" o:title=""/>
          </v:shape>
          <o:OLEObject Type="Embed" ProgID="Equation.3" ShapeID="_x0000_i1025" DrawAspect="Content" ObjectID="_1618357917" r:id="rId10"/>
        </w:object>
      </w:r>
      <w:r>
        <w:rPr>
          <w:rFonts w:eastAsia="宋体"/>
          <w:sz w:val="20"/>
          <w:szCs w:val="20"/>
        </w:rPr>
        <w:t xml:space="preserve">/2 can be used for the </w:t>
      </w:r>
      <w:r>
        <w:rPr>
          <w:sz w:val="20"/>
          <w:szCs w:val="20"/>
        </w:rPr>
        <w:t>propagation delay compensation</w:t>
      </w:r>
      <w:r>
        <w:rPr>
          <w:rFonts w:eastAsia="宋体"/>
          <w:sz w:val="20"/>
          <w:szCs w:val="20"/>
        </w:rPr>
        <w:t>.</w:t>
      </w:r>
    </w:p>
    <w:p w14:paraId="4684BE99" w14:textId="50720E60" w:rsidR="00B74A72" w:rsidRPr="001A3E56" w:rsidRDefault="00881669" w:rsidP="00C6696E">
      <w:pPr>
        <w:spacing w:beforeLines="20" w:before="48" w:after="120"/>
        <w:rPr>
          <w:rFonts w:eastAsia="宋体"/>
          <w:position w:val="-10"/>
          <w:sz w:val="20"/>
          <w:szCs w:val="20"/>
        </w:rPr>
      </w:pPr>
      <w:r w:rsidRPr="001A3E56">
        <w:rPr>
          <w:rFonts w:eastAsia="宋体"/>
          <w:sz w:val="20"/>
          <w:szCs w:val="20"/>
        </w:rPr>
        <w:t>In NR, TA granularity is decided by SCS, e.g. one TA unit =</w:t>
      </w:r>
      <w:r w:rsidRPr="001A3E56">
        <w:rPr>
          <w:position w:val="-10"/>
          <w:sz w:val="20"/>
          <w:szCs w:val="20"/>
        </w:rPr>
        <w:object w:dxaOrig="1159" w:dyaOrig="327" w14:anchorId="52DE4ED6">
          <v:shape id="_x0000_i1026" type="#_x0000_t75" style="width:58.15pt;height:16.15pt" o:ole="">
            <v:imagedata r:id="rId11" o:title=""/>
          </v:shape>
          <o:OLEObject Type="Embed" ProgID="Equation.3" ShapeID="_x0000_i1026" DrawAspect="Content" ObjectID="_1618357918" r:id="rId12"/>
        </w:object>
      </w:r>
      <w:r w:rsidRPr="001A3E56">
        <w:rPr>
          <w:rFonts w:eastAsia="宋体"/>
          <w:position w:val="-10"/>
          <w:sz w:val="20"/>
          <w:szCs w:val="20"/>
        </w:rPr>
        <w:t xml:space="preserve">, and </w:t>
      </w:r>
      <w:r w:rsidR="001A3E56" w:rsidRPr="001A3E56">
        <w:rPr>
          <w:position w:val="-10"/>
          <w:sz w:val="20"/>
          <w:szCs w:val="20"/>
        </w:rPr>
        <w:object w:dxaOrig="1575" w:dyaOrig="315" w14:anchorId="358343FB">
          <v:shape id="_x0000_i1027" type="#_x0000_t75" style="width:76.25pt;height:15.4pt" o:ole="">
            <v:imagedata r:id="rId13" o:title=""/>
          </v:shape>
          <o:OLEObject Type="Embed" ProgID="Equation.3" ShapeID="_x0000_i1027" DrawAspect="Content" ObjectID="_1618357919" r:id="rId14"/>
        </w:object>
      </w:r>
      <w:r w:rsidRPr="001A3E56">
        <w:rPr>
          <w:sz w:val="20"/>
          <w:szCs w:val="20"/>
        </w:rPr>
        <w:t xml:space="preserve"> where </w:t>
      </w:r>
      <m:oMath>
        <m:r>
          <m:rPr>
            <m:sty m:val="p"/>
          </m:rPr>
          <w:rPr>
            <w:rFonts w:ascii="Cambria Math" w:hAnsi="Cambria Math"/>
            <w:sz w:val="20"/>
            <w:szCs w:val="20"/>
          </w:rPr>
          <m:t>Δ</m:t>
        </m:r>
        <m:sSub>
          <m:sSubPr>
            <m:ctrlPr>
              <w:rPr>
                <w:rFonts w:ascii="Cambria Math" w:hAnsi="Cambria Math"/>
                <w:i/>
                <w:sz w:val="20"/>
                <w:szCs w:val="20"/>
              </w:rPr>
            </m:ctrlPr>
          </m:sSubPr>
          <m:e>
            <m:r>
              <w:rPr>
                <w:rFonts w:ascii="Cambria Math" w:hAnsi="Cambria Math"/>
                <w:sz w:val="20"/>
                <w:szCs w:val="20"/>
              </w:rPr>
              <m:t>f</m:t>
            </m:r>
          </m:e>
          <m:sub>
            <m:r>
              <m:rPr>
                <m:nor/>
              </m:rPr>
              <w:rPr>
                <w:sz w:val="20"/>
                <w:szCs w:val="20"/>
              </w:rPr>
              <m:t>max</m:t>
            </m:r>
          </m:sub>
        </m:sSub>
        <m:r>
          <w:rPr>
            <w:rFonts w:ascii="Cambria Math" w:hAnsi="Cambria Math"/>
            <w:sz w:val="20"/>
            <w:szCs w:val="20"/>
          </w:rPr>
          <m:t>=480∙</m:t>
        </m:r>
        <m:sSup>
          <m:sSupPr>
            <m:ctrlPr>
              <w:rPr>
                <w:rFonts w:ascii="Cambria Math" w:hAnsi="Cambria Math"/>
                <w:i/>
                <w:sz w:val="20"/>
                <w:szCs w:val="20"/>
              </w:rPr>
            </m:ctrlPr>
          </m:sSupPr>
          <m:e>
            <m:r>
              <w:rPr>
                <w:rFonts w:ascii="Cambria Math" w:hAnsi="Cambria Math"/>
                <w:sz w:val="20"/>
                <w:szCs w:val="20"/>
              </w:rPr>
              <m:t>10</m:t>
            </m:r>
          </m:e>
          <m:sup>
            <m:r>
              <w:rPr>
                <w:rFonts w:ascii="Cambria Math" w:hAnsi="Cambria Math"/>
                <w:sz w:val="20"/>
                <w:szCs w:val="20"/>
              </w:rPr>
              <m:t>3</m:t>
            </m:r>
          </m:sup>
        </m:sSup>
      </m:oMath>
      <w:r w:rsidRPr="001A3E56">
        <w:rPr>
          <w:sz w:val="20"/>
          <w:szCs w:val="20"/>
        </w:rPr>
        <w:t xml:space="preserve"> Hz and</w:t>
      </w:r>
      <w:r w:rsidR="007A50C3">
        <w:rPr>
          <w:sz w:val="20"/>
          <w:szCs w:val="20"/>
        </w:rPr>
        <w:t xml:space="preserve"> </w:t>
      </w:r>
      <w:r w:rsidRPr="001A3E56">
        <w:rPr>
          <w:position w:val="-10"/>
          <w:sz w:val="20"/>
          <w:szCs w:val="20"/>
        </w:rPr>
        <w:object w:dxaOrig="915" w:dyaOrig="315" w14:anchorId="07D3BEAB">
          <v:shape id="_x0000_i1028" type="#_x0000_t75" style="width:45.8pt;height:15.8pt" o:ole="">
            <v:imagedata r:id="rId15" o:title=""/>
          </v:shape>
          <o:OLEObject Type="Embed" ProgID="Equation.3" ShapeID="_x0000_i1028" DrawAspect="Content" ObjectID="_1618357920" r:id="rId16"/>
        </w:object>
      </w:r>
      <w:r w:rsidRPr="001A3E56">
        <w:rPr>
          <w:sz w:val="20"/>
          <w:szCs w:val="20"/>
        </w:rPr>
        <w:t xml:space="preserve">. </w:t>
      </w:r>
      <w:r w:rsidRPr="001A3E56">
        <w:rPr>
          <w:rFonts w:eastAsia="宋体"/>
          <w:sz w:val="20"/>
          <w:szCs w:val="20"/>
        </w:rPr>
        <w:t>Thus, one TA unit</w:t>
      </w:r>
      <w:r w:rsidR="001A3E56">
        <w:rPr>
          <w:rFonts w:eastAsia="宋体"/>
          <w:sz w:val="20"/>
          <w:szCs w:val="20"/>
        </w:rPr>
        <w:t xml:space="preserve"> </w:t>
      </w:r>
      <w:r w:rsidRPr="001A3E56">
        <w:rPr>
          <w:rFonts w:eastAsia="宋体"/>
          <w:sz w:val="20"/>
          <w:szCs w:val="20"/>
        </w:rPr>
        <w:t>=</w:t>
      </w:r>
      <w:r w:rsidR="001A3E56" w:rsidRPr="001A3E56">
        <w:rPr>
          <w:position w:val="-12"/>
          <w:sz w:val="20"/>
          <w:szCs w:val="20"/>
        </w:rPr>
        <w:object w:dxaOrig="2140" w:dyaOrig="366" w14:anchorId="6146485D">
          <v:shape id="_x0000_i1029" type="#_x0000_t75" style="width:90.85pt;height:15.4pt" o:ole="">
            <v:imagedata r:id="rId17" o:title=""/>
          </v:shape>
          <o:OLEObject Type="Embed" ProgID="Equation.3" ShapeID="_x0000_i1029" DrawAspect="Content" ObjectID="_1618357921" r:id="rId18"/>
        </w:object>
      </w:r>
      <w:r w:rsidRPr="001A3E56">
        <w:rPr>
          <w:rFonts w:eastAsia="宋体"/>
          <w:position w:val="-10"/>
          <w:sz w:val="20"/>
          <w:szCs w:val="20"/>
        </w:rPr>
        <w:t>.</w:t>
      </w:r>
    </w:p>
    <w:p w14:paraId="3519FA11" w14:textId="7BB7FCDC" w:rsidR="0031511E" w:rsidRDefault="00881669" w:rsidP="0031511E">
      <w:pPr>
        <w:spacing w:beforeLines="20" w:before="48" w:after="120"/>
        <w:rPr>
          <w:rFonts w:eastAsia="宋体"/>
          <w:position w:val="-10"/>
          <w:sz w:val="20"/>
          <w:szCs w:val="20"/>
        </w:rPr>
      </w:pPr>
      <w:r>
        <w:rPr>
          <w:rFonts w:eastAsia="宋体"/>
          <w:position w:val="-10"/>
          <w:sz w:val="20"/>
          <w:szCs w:val="20"/>
        </w:rPr>
        <w:t xml:space="preserve">With </w:t>
      </w:r>
      <w:r>
        <w:rPr>
          <w:rFonts w:eastAsia="宋体"/>
          <w:position w:val="-10"/>
          <w:sz w:val="20"/>
          <w:szCs w:val="20"/>
        </w:rPr>
        <w:object w:dxaOrig="439" w:dyaOrig="281" w14:anchorId="6052F1FF">
          <v:shape id="_x0000_i1030" type="#_x0000_t75" style="width:21.95pt;height:13.85pt" o:ole="">
            <v:imagedata r:id="rId9" o:title=""/>
          </v:shape>
          <o:OLEObject Type="Embed" ProgID="Equation.3" ShapeID="_x0000_i1030" DrawAspect="Content" ObjectID="_1618357922" r:id="rId19"/>
        </w:object>
      </w:r>
      <w:r>
        <w:rPr>
          <w:rFonts w:eastAsia="宋体"/>
          <w:position w:val="-10"/>
          <w:sz w:val="20"/>
          <w:szCs w:val="20"/>
        </w:rPr>
        <w:t xml:space="preserve">/2 is used for the propagation delay compensation, </w:t>
      </w:r>
      <w:r w:rsidR="00C113E5">
        <w:rPr>
          <w:rFonts w:eastAsia="宋体"/>
          <w:position w:val="-10"/>
          <w:sz w:val="20"/>
          <w:szCs w:val="20"/>
        </w:rPr>
        <w:t xml:space="preserve">there have </w:t>
      </w:r>
      <w:r w:rsidR="0031511E">
        <w:rPr>
          <w:rFonts w:eastAsia="宋体"/>
          <w:position w:val="-10"/>
          <w:sz w:val="20"/>
          <w:szCs w:val="20"/>
        </w:rPr>
        <w:t xml:space="preserve">the understanding </w:t>
      </w:r>
      <w:r w:rsidR="00C113E5">
        <w:rPr>
          <w:rFonts w:eastAsia="宋体"/>
          <w:position w:val="-10"/>
          <w:sz w:val="20"/>
          <w:szCs w:val="20"/>
        </w:rPr>
        <w:t xml:space="preserve">the </w:t>
      </w:r>
      <w:r>
        <w:rPr>
          <w:rFonts w:eastAsia="宋体"/>
          <w:position w:val="-10"/>
          <w:sz w:val="20"/>
          <w:szCs w:val="20"/>
        </w:rPr>
        <w:t>only when the delay is larger than or equal to the TA granularity, the</w:t>
      </w:r>
      <w:r w:rsidR="00476AEF">
        <w:rPr>
          <w:rFonts w:eastAsia="宋体"/>
          <w:position w:val="-10"/>
          <w:sz w:val="20"/>
          <w:szCs w:val="20"/>
        </w:rPr>
        <w:t xml:space="preserve"> </w:t>
      </w:r>
      <w:r>
        <w:rPr>
          <w:rFonts w:eastAsia="宋体"/>
          <w:position w:val="-10"/>
          <w:sz w:val="20"/>
          <w:szCs w:val="20"/>
        </w:rPr>
        <w:t>propagation delay compensation will have positive gains.</w:t>
      </w:r>
      <w:r w:rsidR="00C113E5">
        <w:rPr>
          <w:rFonts w:eastAsia="宋体"/>
          <w:position w:val="-10"/>
          <w:sz w:val="20"/>
          <w:szCs w:val="20"/>
        </w:rPr>
        <w:t xml:space="preserve"> </w:t>
      </w:r>
      <w:r w:rsidR="0031511E">
        <w:rPr>
          <w:rFonts w:eastAsia="宋体"/>
          <w:position w:val="-10"/>
          <w:sz w:val="20"/>
          <w:szCs w:val="20"/>
        </w:rPr>
        <w:t xml:space="preserve">But in fact, even propagation delay compensation is applied for small service areas with dense small cell deployments in which a propagation delay compensation by the UE is not required, e.g. the distance between UE and gNB is less than the least distance that needs propagation delay compensation, the negative effect can be </w:t>
      </w:r>
      <w:r w:rsidR="0031511E">
        <w:rPr>
          <w:rFonts w:eastAsia="宋体" w:hint="eastAsia"/>
          <w:position w:val="-10"/>
          <w:sz w:val="20"/>
          <w:szCs w:val="20"/>
        </w:rPr>
        <w:t>negligible</w:t>
      </w:r>
      <w:r w:rsidR="0031511E">
        <w:rPr>
          <w:rFonts w:eastAsia="宋体"/>
          <w:position w:val="-10"/>
          <w:sz w:val="20"/>
          <w:szCs w:val="20"/>
        </w:rPr>
        <w:t xml:space="preserve">. E.g. the negative effect is less than TA Granularity/2, and also is less than 540ns. Therefore the requirement of </w:t>
      </w:r>
      <w:r w:rsidR="0031511E" w:rsidRPr="00324023">
        <w:rPr>
          <w:rFonts w:eastAsia="宋体"/>
          <w:position w:val="-10"/>
          <w:sz w:val="20"/>
          <w:szCs w:val="20"/>
        </w:rPr>
        <w:t>1us accurate reference timing and</w:t>
      </w:r>
      <w:r w:rsidR="0031511E">
        <w:rPr>
          <w:rFonts w:eastAsia="宋体"/>
          <w:position w:val="-10"/>
          <w:sz w:val="20"/>
          <w:szCs w:val="20"/>
        </w:rPr>
        <w:t xml:space="preserve"> timing synchronization error between a gNB and a UE no worse than 540ns still can be achievable.</w:t>
      </w:r>
    </w:p>
    <w:p w14:paraId="76B7AE4E" w14:textId="01C07ACD" w:rsidR="0031511E" w:rsidRDefault="0031511E" w:rsidP="0031511E">
      <w:pPr>
        <w:spacing w:beforeLines="20" w:before="48" w:after="120"/>
        <w:rPr>
          <w:rFonts w:eastAsia="宋体"/>
          <w:position w:val="-10"/>
          <w:sz w:val="20"/>
          <w:szCs w:val="20"/>
        </w:rPr>
      </w:pPr>
      <w:r>
        <w:rPr>
          <w:rFonts w:eastAsia="宋体"/>
          <w:b/>
          <w:bCs/>
          <w:position w:val="-10"/>
          <w:sz w:val="20"/>
          <w:szCs w:val="20"/>
        </w:rPr>
        <w:t xml:space="preserve">Observation 3: Even propagation delay compensation is applied for small service areas with dense small cell deployments, </w:t>
      </w:r>
      <w:r w:rsidRPr="000B073D">
        <w:rPr>
          <w:rFonts w:eastAsia="宋体"/>
          <w:b/>
          <w:bCs/>
          <w:position w:val="-10"/>
          <w:sz w:val="20"/>
          <w:szCs w:val="20"/>
        </w:rPr>
        <w:t>the</w:t>
      </w:r>
      <w:r w:rsidRPr="000B073D">
        <w:rPr>
          <w:rFonts w:eastAsia="宋体"/>
          <w:b/>
          <w:position w:val="-10"/>
          <w:sz w:val="20"/>
          <w:szCs w:val="20"/>
        </w:rPr>
        <w:t xml:space="preserve"> requirement of </w:t>
      </w:r>
      <w:r>
        <w:rPr>
          <w:rFonts w:eastAsia="宋体"/>
          <w:b/>
          <w:bCs/>
          <w:position w:val="-10"/>
          <w:sz w:val="20"/>
          <w:szCs w:val="20"/>
        </w:rPr>
        <w:t>1us accurate reference timing delivery still can be satisfied.</w:t>
      </w:r>
    </w:p>
    <w:p w14:paraId="6D90C3C1" w14:textId="5033CBE2" w:rsidR="00B74A72" w:rsidRDefault="0031511E" w:rsidP="00C6696E">
      <w:pPr>
        <w:spacing w:beforeLines="20" w:before="48" w:after="120"/>
        <w:rPr>
          <w:rFonts w:eastAsia="宋体"/>
          <w:position w:val="-10"/>
          <w:sz w:val="20"/>
          <w:szCs w:val="20"/>
        </w:rPr>
      </w:pPr>
      <w:r>
        <w:rPr>
          <w:rFonts w:eastAsia="宋体"/>
          <w:position w:val="-10"/>
          <w:sz w:val="20"/>
          <w:szCs w:val="20"/>
        </w:rPr>
        <w:t xml:space="preserve">Moreover, </w:t>
      </w:r>
      <w:r w:rsidR="00881669">
        <w:rPr>
          <w:rFonts w:eastAsia="宋体"/>
          <w:position w:val="-10"/>
          <w:sz w:val="20"/>
          <w:szCs w:val="20"/>
        </w:rPr>
        <w:t xml:space="preserve">the propagation delay </w:t>
      </w:r>
      <w:r w:rsidR="001A3E56">
        <w:rPr>
          <w:rFonts w:eastAsia="宋体"/>
          <w:position w:val="-10"/>
          <w:sz w:val="20"/>
          <w:szCs w:val="20"/>
        </w:rPr>
        <w:t>is related to</w:t>
      </w:r>
      <w:r w:rsidR="00881669">
        <w:rPr>
          <w:rFonts w:eastAsia="宋体"/>
          <w:position w:val="-10"/>
          <w:sz w:val="20"/>
          <w:szCs w:val="20"/>
        </w:rPr>
        <w:t xml:space="preserve"> the distance between UE and gNB, e.g. distance =delay * 3*10</w:t>
      </w:r>
      <w:r w:rsidR="00881669">
        <w:rPr>
          <w:rFonts w:eastAsia="宋体"/>
          <w:position w:val="-10"/>
          <w:sz w:val="20"/>
          <w:szCs w:val="20"/>
          <w:vertAlign w:val="superscript"/>
        </w:rPr>
        <w:t>8</w:t>
      </w:r>
      <w:r w:rsidR="00881669">
        <w:rPr>
          <w:rFonts w:eastAsia="宋体"/>
          <w:position w:val="-10"/>
          <w:sz w:val="20"/>
          <w:szCs w:val="20"/>
        </w:rPr>
        <w:t>m/s. Thus, the relationship between SCS, TA Granularity and the least distance that needs propagation delay compensation are shown in the following table.</w:t>
      </w:r>
    </w:p>
    <w:tbl>
      <w:tblPr>
        <w:tblW w:w="7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43"/>
        <w:gridCol w:w="1685"/>
        <w:gridCol w:w="3206"/>
      </w:tblGrid>
      <w:tr w:rsidR="00B74A72" w14:paraId="36720B43" w14:textId="77777777">
        <w:trPr>
          <w:jc w:val="center"/>
        </w:trPr>
        <w:tc>
          <w:tcPr>
            <w:tcW w:w="1129" w:type="dxa"/>
            <w:shd w:val="clear" w:color="auto" w:fill="auto"/>
            <w:vAlign w:val="center"/>
          </w:tcPr>
          <w:p w14:paraId="65B2AA96" w14:textId="77777777" w:rsidR="00B74A72" w:rsidRDefault="00881669" w:rsidP="00C6696E">
            <w:pPr>
              <w:pStyle w:val="TAH"/>
              <w:spacing w:beforeLines="20" w:before="48" w:after="120"/>
              <w:rPr>
                <w:rFonts w:ascii="Times New Roman" w:hAnsi="Times New Roman"/>
                <w:sz w:val="20"/>
              </w:rPr>
            </w:pPr>
            <w:r>
              <w:rPr>
                <w:rFonts w:ascii="Times New Roman" w:hAnsi="Times New Roman"/>
                <w:position w:val="-10"/>
                <w:sz w:val="20"/>
              </w:rPr>
              <w:object w:dxaOrig="225" w:dyaOrig="255" w14:anchorId="691AB826">
                <v:shape id="_x0000_i1031" type="#_x0000_t75" style="width:11.15pt;height:12.7pt" o:ole="">
                  <v:imagedata r:id="rId20" o:title=""/>
                </v:shape>
                <o:OLEObject Type="Embed" ProgID="Equation.3" ShapeID="_x0000_i1031" DrawAspect="Content" ObjectID="_1618357923" r:id="rId21"/>
              </w:object>
            </w:r>
          </w:p>
        </w:tc>
        <w:tc>
          <w:tcPr>
            <w:tcW w:w="1843" w:type="dxa"/>
            <w:shd w:val="clear" w:color="auto" w:fill="auto"/>
            <w:vAlign w:val="center"/>
          </w:tcPr>
          <w:p w14:paraId="124736DA" w14:textId="77777777" w:rsidR="00B74A72" w:rsidRDefault="00881669" w:rsidP="00C6696E">
            <w:pPr>
              <w:pStyle w:val="TAH"/>
              <w:spacing w:beforeLines="20" w:before="48" w:after="120"/>
              <w:rPr>
                <w:rFonts w:ascii="Times New Roman" w:hAnsi="Times New Roman"/>
                <w:sz w:val="20"/>
              </w:rPr>
            </w:pPr>
            <w:r>
              <w:rPr>
                <w:rFonts w:ascii="Times New Roman" w:hAnsi="Times New Roman"/>
                <w:position w:val="-10"/>
                <w:sz w:val="20"/>
              </w:rPr>
              <w:object w:dxaOrig="1515" w:dyaOrig="345" w14:anchorId="411774F4">
                <v:shape id="_x0000_i1032" type="#_x0000_t75" style="width:75.85pt;height:17.35pt" o:ole="">
                  <v:imagedata r:id="rId22" o:title=""/>
                </v:shape>
                <o:OLEObject Type="Embed" ProgID="Equation.3" ShapeID="_x0000_i1032" DrawAspect="Content" ObjectID="_1618357924" r:id="rId23"/>
              </w:object>
            </w:r>
          </w:p>
        </w:tc>
        <w:tc>
          <w:tcPr>
            <w:tcW w:w="1685" w:type="dxa"/>
            <w:vAlign w:val="center"/>
          </w:tcPr>
          <w:p w14:paraId="5110146C" w14:textId="77777777" w:rsidR="00B74A72" w:rsidRDefault="00881669" w:rsidP="00C6696E">
            <w:pPr>
              <w:pStyle w:val="TAH"/>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TA Granularity</w:t>
            </w:r>
          </w:p>
        </w:tc>
        <w:tc>
          <w:tcPr>
            <w:tcW w:w="3206" w:type="dxa"/>
            <w:vAlign w:val="center"/>
          </w:tcPr>
          <w:p w14:paraId="70EC5B28" w14:textId="77777777" w:rsidR="00B74A72" w:rsidRDefault="00881669" w:rsidP="00C6696E">
            <w:pPr>
              <w:pStyle w:val="TAH"/>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The least distance that needs propagation delay compensation</w:t>
            </w:r>
          </w:p>
        </w:tc>
      </w:tr>
      <w:tr w:rsidR="00B74A72" w14:paraId="50E6AABF" w14:textId="77777777">
        <w:trPr>
          <w:jc w:val="center"/>
        </w:trPr>
        <w:tc>
          <w:tcPr>
            <w:tcW w:w="1129" w:type="dxa"/>
            <w:shd w:val="clear" w:color="auto" w:fill="auto"/>
          </w:tcPr>
          <w:p w14:paraId="5026DB63" w14:textId="77777777" w:rsidR="00B74A72" w:rsidRDefault="00881669" w:rsidP="00C6696E">
            <w:pPr>
              <w:pStyle w:val="TAC"/>
              <w:spacing w:beforeLines="20" w:before="48" w:after="120"/>
              <w:rPr>
                <w:rFonts w:ascii="Times New Roman" w:hAnsi="Times New Roman"/>
                <w:sz w:val="20"/>
              </w:rPr>
            </w:pPr>
            <w:r>
              <w:rPr>
                <w:rFonts w:ascii="Times New Roman" w:hAnsi="Times New Roman"/>
                <w:sz w:val="20"/>
              </w:rPr>
              <w:t>0</w:t>
            </w:r>
          </w:p>
        </w:tc>
        <w:tc>
          <w:tcPr>
            <w:tcW w:w="1843" w:type="dxa"/>
            <w:shd w:val="clear" w:color="auto" w:fill="auto"/>
          </w:tcPr>
          <w:p w14:paraId="7DBB3AD4" w14:textId="77777777" w:rsidR="00B74A72" w:rsidRDefault="00881669" w:rsidP="00C6696E">
            <w:pPr>
              <w:pStyle w:val="TAC"/>
              <w:spacing w:beforeLines="20" w:before="48" w:after="120"/>
              <w:rPr>
                <w:rFonts w:ascii="Times New Roman" w:hAnsi="Times New Roman"/>
                <w:sz w:val="20"/>
              </w:rPr>
            </w:pPr>
            <w:r>
              <w:rPr>
                <w:rFonts w:ascii="Times New Roman" w:hAnsi="Times New Roman"/>
                <w:sz w:val="20"/>
              </w:rPr>
              <w:t>15</w:t>
            </w:r>
          </w:p>
        </w:tc>
        <w:tc>
          <w:tcPr>
            <w:tcW w:w="1685" w:type="dxa"/>
          </w:tcPr>
          <w:p w14:paraId="12CCDD5D" w14:textId="77777777" w:rsidR="00B74A72" w:rsidRDefault="00881669" w:rsidP="00C6696E">
            <w:pPr>
              <w:pStyle w:val="TAC"/>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520ns</w:t>
            </w:r>
          </w:p>
        </w:tc>
        <w:tc>
          <w:tcPr>
            <w:tcW w:w="3206" w:type="dxa"/>
          </w:tcPr>
          <w:p w14:paraId="5855067C" w14:textId="77777777" w:rsidR="00B74A72" w:rsidRDefault="00881669" w:rsidP="00C6696E">
            <w:pPr>
              <w:pStyle w:val="TAC"/>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156m</w:t>
            </w:r>
          </w:p>
        </w:tc>
      </w:tr>
      <w:tr w:rsidR="00B74A72" w14:paraId="354240D9" w14:textId="77777777">
        <w:trPr>
          <w:jc w:val="center"/>
        </w:trPr>
        <w:tc>
          <w:tcPr>
            <w:tcW w:w="1129" w:type="dxa"/>
            <w:shd w:val="clear" w:color="auto" w:fill="auto"/>
          </w:tcPr>
          <w:p w14:paraId="3C314A36" w14:textId="77777777" w:rsidR="00B74A72" w:rsidRDefault="00881669" w:rsidP="00C6696E">
            <w:pPr>
              <w:pStyle w:val="TAC"/>
              <w:spacing w:beforeLines="20" w:before="48" w:after="120"/>
              <w:rPr>
                <w:rFonts w:ascii="Times New Roman" w:hAnsi="Times New Roman"/>
                <w:sz w:val="20"/>
              </w:rPr>
            </w:pPr>
            <w:r>
              <w:rPr>
                <w:rFonts w:ascii="Times New Roman" w:hAnsi="Times New Roman"/>
                <w:sz w:val="20"/>
              </w:rPr>
              <w:t>1</w:t>
            </w:r>
          </w:p>
        </w:tc>
        <w:tc>
          <w:tcPr>
            <w:tcW w:w="1843" w:type="dxa"/>
            <w:shd w:val="clear" w:color="auto" w:fill="auto"/>
          </w:tcPr>
          <w:p w14:paraId="49F8D7E0" w14:textId="77777777" w:rsidR="00B74A72" w:rsidRDefault="00881669" w:rsidP="00C6696E">
            <w:pPr>
              <w:pStyle w:val="TAC"/>
              <w:spacing w:beforeLines="20" w:before="48" w:after="120"/>
              <w:rPr>
                <w:rFonts w:ascii="Times New Roman" w:hAnsi="Times New Roman"/>
                <w:sz w:val="20"/>
              </w:rPr>
            </w:pPr>
            <w:r>
              <w:rPr>
                <w:rFonts w:ascii="Times New Roman" w:hAnsi="Times New Roman"/>
                <w:sz w:val="20"/>
              </w:rPr>
              <w:t>30</w:t>
            </w:r>
          </w:p>
        </w:tc>
        <w:tc>
          <w:tcPr>
            <w:tcW w:w="1685" w:type="dxa"/>
          </w:tcPr>
          <w:p w14:paraId="6A7E998B" w14:textId="77777777" w:rsidR="00B74A72" w:rsidRDefault="00881669" w:rsidP="00C6696E">
            <w:pPr>
              <w:pStyle w:val="TAC"/>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260ns</w:t>
            </w:r>
          </w:p>
        </w:tc>
        <w:tc>
          <w:tcPr>
            <w:tcW w:w="3206" w:type="dxa"/>
          </w:tcPr>
          <w:p w14:paraId="15D55C4A" w14:textId="77777777" w:rsidR="00B74A72" w:rsidRDefault="00881669" w:rsidP="00C6696E">
            <w:pPr>
              <w:pStyle w:val="TAC"/>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78m</w:t>
            </w:r>
          </w:p>
        </w:tc>
      </w:tr>
      <w:tr w:rsidR="00B74A72" w14:paraId="32086F14" w14:textId="77777777">
        <w:trPr>
          <w:jc w:val="center"/>
        </w:trPr>
        <w:tc>
          <w:tcPr>
            <w:tcW w:w="1129" w:type="dxa"/>
            <w:shd w:val="clear" w:color="auto" w:fill="auto"/>
          </w:tcPr>
          <w:p w14:paraId="49BEA6FD" w14:textId="77777777" w:rsidR="00B74A72" w:rsidRDefault="00881669" w:rsidP="00C6696E">
            <w:pPr>
              <w:pStyle w:val="TAC"/>
              <w:spacing w:beforeLines="20" w:before="48" w:after="120"/>
              <w:rPr>
                <w:rFonts w:ascii="Times New Roman" w:hAnsi="Times New Roman"/>
                <w:sz w:val="20"/>
              </w:rPr>
            </w:pPr>
            <w:r>
              <w:rPr>
                <w:rFonts w:ascii="Times New Roman" w:hAnsi="Times New Roman"/>
                <w:sz w:val="20"/>
              </w:rPr>
              <w:t>2</w:t>
            </w:r>
          </w:p>
        </w:tc>
        <w:tc>
          <w:tcPr>
            <w:tcW w:w="1843" w:type="dxa"/>
            <w:shd w:val="clear" w:color="auto" w:fill="auto"/>
          </w:tcPr>
          <w:p w14:paraId="32190FCD" w14:textId="77777777" w:rsidR="00B74A72" w:rsidRDefault="00881669" w:rsidP="00C6696E">
            <w:pPr>
              <w:pStyle w:val="TAC"/>
              <w:spacing w:beforeLines="20" w:before="48" w:after="120"/>
              <w:rPr>
                <w:rFonts w:ascii="Times New Roman" w:hAnsi="Times New Roman"/>
                <w:sz w:val="20"/>
              </w:rPr>
            </w:pPr>
            <w:r>
              <w:rPr>
                <w:rFonts w:ascii="Times New Roman" w:hAnsi="Times New Roman"/>
                <w:sz w:val="20"/>
              </w:rPr>
              <w:t>60</w:t>
            </w:r>
          </w:p>
        </w:tc>
        <w:tc>
          <w:tcPr>
            <w:tcW w:w="1685" w:type="dxa"/>
          </w:tcPr>
          <w:p w14:paraId="068007CA" w14:textId="77777777" w:rsidR="00B74A72" w:rsidRDefault="00881669" w:rsidP="00C6696E">
            <w:pPr>
              <w:pStyle w:val="TAC"/>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130ns</w:t>
            </w:r>
          </w:p>
        </w:tc>
        <w:tc>
          <w:tcPr>
            <w:tcW w:w="3206" w:type="dxa"/>
          </w:tcPr>
          <w:p w14:paraId="78B77B77" w14:textId="77777777" w:rsidR="00B74A72" w:rsidRDefault="00881669" w:rsidP="00C6696E">
            <w:pPr>
              <w:pStyle w:val="TAC"/>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39m</w:t>
            </w:r>
          </w:p>
        </w:tc>
      </w:tr>
      <w:tr w:rsidR="00B74A72" w14:paraId="165B462C" w14:textId="77777777">
        <w:trPr>
          <w:jc w:val="center"/>
        </w:trPr>
        <w:tc>
          <w:tcPr>
            <w:tcW w:w="1129" w:type="dxa"/>
            <w:shd w:val="clear" w:color="auto" w:fill="auto"/>
          </w:tcPr>
          <w:p w14:paraId="089A2D02" w14:textId="77777777" w:rsidR="00B74A72" w:rsidRDefault="00881669" w:rsidP="00C6696E">
            <w:pPr>
              <w:pStyle w:val="TAC"/>
              <w:spacing w:beforeLines="20" w:before="48" w:after="120"/>
              <w:rPr>
                <w:rFonts w:ascii="Times New Roman" w:hAnsi="Times New Roman"/>
                <w:sz w:val="20"/>
              </w:rPr>
            </w:pPr>
            <w:r>
              <w:rPr>
                <w:rFonts w:ascii="Times New Roman" w:hAnsi="Times New Roman"/>
                <w:sz w:val="20"/>
              </w:rPr>
              <w:t>3</w:t>
            </w:r>
          </w:p>
        </w:tc>
        <w:tc>
          <w:tcPr>
            <w:tcW w:w="1843" w:type="dxa"/>
            <w:shd w:val="clear" w:color="auto" w:fill="auto"/>
          </w:tcPr>
          <w:p w14:paraId="1DBD57EE" w14:textId="77777777" w:rsidR="00B74A72" w:rsidRDefault="00881669" w:rsidP="00C6696E">
            <w:pPr>
              <w:pStyle w:val="TAC"/>
              <w:spacing w:beforeLines="20" w:before="48" w:after="120"/>
              <w:rPr>
                <w:rFonts w:ascii="Times New Roman" w:hAnsi="Times New Roman"/>
                <w:sz w:val="20"/>
              </w:rPr>
            </w:pPr>
            <w:r>
              <w:rPr>
                <w:rFonts w:ascii="Times New Roman" w:hAnsi="Times New Roman"/>
                <w:sz w:val="20"/>
              </w:rPr>
              <w:t>120</w:t>
            </w:r>
          </w:p>
        </w:tc>
        <w:tc>
          <w:tcPr>
            <w:tcW w:w="1685" w:type="dxa"/>
          </w:tcPr>
          <w:p w14:paraId="03E313C4" w14:textId="77777777" w:rsidR="00B74A72" w:rsidRDefault="00881669" w:rsidP="00C6696E">
            <w:pPr>
              <w:pStyle w:val="TAC"/>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65ns</w:t>
            </w:r>
          </w:p>
        </w:tc>
        <w:tc>
          <w:tcPr>
            <w:tcW w:w="3206" w:type="dxa"/>
          </w:tcPr>
          <w:p w14:paraId="3979F290" w14:textId="77777777" w:rsidR="00B74A72" w:rsidRDefault="00881669" w:rsidP="00C6696E">
            <w:pPr>
              <w:pStyle w:val="TAC"/>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19.5m</w:t>
            </w:r>
          </w:p>
        </w:tc>
      </w:tr>
      <w:tr w:rsidR="00B74A72" w14:paraId="164C7B91" w14:textId="77777777">
        <w:trPr>
          <w:jc w:val="center"/>
        </w:trPr>
        <w:tc>
          <w:tcPr>
            <w:tcW w:w="1129" w:type="dxa"/>
            <w:shd w:val="clear" w:color="auto" w:fill="auto"/>
          </w:tcPr>
          <w:p w14:paraId="469FC0E1" w14:textId="77777777" w:rsidR="00B74A72" w:rsidRDefault="00881669" w:rsidP="00C6696E">
            <w:pPr>
              <w:pStyle w:val="TAC"/>
              <w:spacing w:beforeLines="20" w:before="48" w:after="120"/>
              <w:rPr>
                <w:rFonts w:ascii="Times New Roman" w:hAnsi="Times New Roman"/>
                <w:sz w:val="20"/>
              </w:rPr>
            </w:pPr>
            <w:r>
              <w:rPr>
                <w:rFonts w:ascii="Times New Roman" w:hAnsi="Times New Roman"/>
                <w:sz w:val="20"/>
              </w:rPr>
              <w:t>4</w:t>
            </w:r>
          </w:p>
        </w:tc>
        <w:tc>
          <w:tcPr>
            <w:tcW w:w="1843" w:type="dxa"/>
            <w:shd w:val="clear" w:color="auto" w:fill="auto"/>
          </w:tcPr>
          <w:p w14:paraId="79B748BC" w14:textId="77777777" w:rsidR="00B74A72" w:rsidRDefault="00881669" w:rsidP="00C6696E">
            <w:pPr>
              <w:pStyle w:val="TAC"/>
              <w:spacing w:beforeLines="20" w:before="48" w:after="120"/>
              <w:rPr>
                <w:rFonts w:ascii="Times New Roman" w:hAnsi="Times New Roman"/>
                <w:sz w:val="20"/>
              </w:rPr>
            </w:pPr>
            <w:r>
              <w:rPr>
                <w:rFonts w:ascii="Times New Roman" w:hAnsi="Times New Roman"/>
                <w:sz w:val="20"/>
              </w:rPr>
              <w:t>240</w:t>
            </w:r>
          </w:p>
        </w:tc>
        <w:tc>
          <w:tcPr>
            <w:tcW w:w="1685" w:type="dxa"/>
          </w:tcPr>
          <w:p w14:paraId="076E3BB4" w14:textId="77777777" w:rsidR="00B74A72" w:rsidRDefault="00881669" w:rsidP="00C6696E">
            <w:pPr>
              <w:pStyle w:val="TAC"/>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32.5ns</w:t>
            </w:r>
          </w:p>
        </w:tc>
        <w:tc>
          <w:tcPr>
            <w:tcW w:w="3206" w:type="dxa"/>
          </w:tcPr>
          <w:p w14:paraId="2AF50EFB" w14:textId="77777777" w:rsidR="00B74A72" w:rsidRDefault="00881669" w:rsidP="00C6696E">
            <w:pPr>
              <w:pStyle w:val="TAC"/>
              <w:spacing w:beforeLines="20" w:before="48" w:after="120"/>
              <w:rPr>
                <w:rFonts w:ascii="Times New Roman" w:eastAsia="宋体" w:hAnsi="Times New Roman"/>
                <w:sz w:val="20"/>
                <w:lang w:val="en-US" w:eastAsia="zh-CN"/>
              </w:rPr>
            </w:pPr>
            <w:r>
              <w:rPr>
                <w:rFonts w:ascii="Times New Roman" w:eastAsia="宋体" w:hAnsi="Times New Roman"/>
                <w:sz w:val="20"/>
                <w:lang w:val="en-US" w:eastAsia="zh-CN"/>
              </w:rPr>
              <w:t>9.75m</w:t>
            </w:r>
          </w:p>
        </w:tc>
      </w:tr>
    </w:tbl>
    <w:p w14:paraId="0F2D2EFD" w14:textId="18271E56" w:rsidR="00B74A72" w:rsidRDefault="004430F0" w:rsidP="00C6696E">
      <w:pPr>
        <w:spacing w:beforeLines="20" w:before="48" w:after="120"/>
        <w:rPr>
          <w:rFonts w:eastAsia="宋体"/>
          <w:position w:val="-10"/>
          <w:sz w:val="20"/>
          <w:szCs w:val="20"/>
        </w:rPr>
      </w:pPr>
      <w:r>
        <w:rPr>
          <w:rFonts w:eastAsia="宋体"/>
          <w:position w:val="-10"/>
          <w:sz w:val="20"/>
          <w:szCs w:val="20"/>
        </w:rPr>
        <w:t>In order to</w:t>
      </w:r>
      <w:r w:rsidR="00881669">
        <w:rPr>
          <w:rFonts w:eastAsia="宋体"/>
          <w:position w:val="-10"/>
          <w:sz w:val="20"/>
          <w:szCs w:val="20"/>
        </w:rPr>
        <w:t xml:space="preserve"> accurately control when to perform propagation delay compensation</w:t>
      </w:r>
      <w:r w:rsidR="001A3E56">
        <w:rPr>
          <w:rFonts w:eastAsia="宋体"/>
          <w:position w:val="-10"/>
          <w:sz w:val="20"/>
          <w:szCs w:val="20"/>
        </w:rPr>
        <w:t>,</w:t>
      </w:r>
      <w:r w:rsidR="00881669">
        <w:rPr>
          <w:rFonts w:eastAsia="宋体"/>
          <w:position w:val="-10"/>
          <w:sz w:val="20"/>
          <w:szCs w:val="20"/>
        </w:rPr>
        <w:t xml:space="preserve"> </w:t>
      </w:r>
      <w:r>
        <w:rPr>
          <w:rFonts w:eastAsia="宋体"/>
          <w:position w:val="-10"/>
          <w:sz w:val="20"/>
          <w:szCs w:val="20"/>
        </w:rPr>
        <w:t xml:space="preserve">the following </w:t>
      </w:r>
      <w:r w:rsidR="00881669">
        <w:rPr>
          <w:rFonts w:eastAsia="宋体"/>
          <w:position w:val="-10"/>
          <w:sz w:val="20"/>
          <w:szCs w:val="20"/>
        </w:rPr>
        <w:t xml:space="preserve">two </w:t>
      </w:r>
      <w:r w:rsidR="001A3E56">
        <w:rPr>
          <w:rFonts w:eastAsia="宋体"/>
          <w:position w:val="-10"/>
          <w:sz w:val="20"/>
          <w:szCs w:val="20"/>
        </w:rPr>
        <w:t xml:space="preserve">possible </w:t>
      </w:r>
      <w:r w:rsidR="00881669">
        <w:rPr>
          <w:rFonts w:eastAsia="宋体"/>
          <w:position w:val="-10"/>
          <w:sz w:val="20"/>
          <w:szCs w:val="20"/>
        </w:rPr>
        <w:t>solutions</w:t>
      </w:r>
      <w:r w:rsidR="001A3E56">
        <w:rPr>
          <w:rFonts w:eastAsia="宋体"/>
          <w:position w:val="-10"/>
          <w:sz w:val="20"/>
          <w:szCs w:val="20"/>
        </w:rPr>
        <w:t xml:space="preserve"> </w:t>
      </w:r>
      <w:r w:rsidR="0031511E">
        <w:rPr>
          <w:rFonts w:eastAsia="宋体"/>
          <w:position w:val="-10"/>
          <w:sz w:val="20"/>
          <w:szCs w:val="20"/>
        </w:rPr>
        <w:t>have been mentioned</w:t>
      </w:r>
      <w:r w:rsidR="00881669">
        <w:rPr>
          <w:rFonts w:eastAsia="宋体"/>
          <w:position w:val="-10"/>
          <w:sz w:val="20"/>
          <w:szCs w:val="20"/>
        </w:rPr>
        <w:t>:</w:t>
      </w:r>
    </w:p>
    <w:p w14:paraId="5370540F" w14:textId="77777777" w:rsidR="00B74A72" w:rsidRDefault="00881669" w:rsidP="00C6696E">
      <w:pPr>
        <w:spacing w:beforeLines="20" w:before="48" w:after="120"/>
        <w:ind w:left="900" w:hangingChars="450" w:hanging="900"/>
        <w:rPr>
          <w:rFonts w:eastAsia="宋体"/>
          <w:position w:val="-10"/>
          <w:sz w:val="20"/>
          <w:szCs w:val="20"/>
        </w:rPr>
      </w:pPr>
      <w:r>
        <w:rPr>
          <w:rFonts w:eastAsia="宋体"/>
          <w:position w:val="-10"/>
          <w:sz w:val="20"/>
          <w:szCs w:val="20"/>
        </w:rPr>
        <w:t>Solution 1: gNB can send an indication for propagation delay compensation when the maximal cell radius is less than or equal to the least distance that needs propagation delay compensation.</w:t>
      </w:r>
    </w:p>
    <w:p w14:paraId="1755AD7A" w14:textId="429E69A4" w:rsidR="00B74A72" w:rsidRDefault="00881669" w:rsidP="00C6696E">
      <w:pPr>
        <w:spacing w:beforeLines="20" w:before="48" w:after="120"/>
        <w:ind w:left="900" w:hangingChars="450" w:hanging="900"/>
        <w:rPr>
          <w:rFonts w:eastAsia="宋体"/>
          <w:position w:val="-10"/>
          <w:sz w:val="20"/>
          <w:szCs w:val="20"/>
        </w:rPr>
      </w:pPr>
      <w:r>
        <w:rPr>
          <w:rFonts w:eastAsia="宋体"/>
          <w:position w:val="-10"/>
          <w:sz w:val="20"/>
          <w:szCs w:val="20"/>
        </w:rPr>
        <w:t>Solution 2: gNB can send an RSRP threshold for propagation delay compensation. Taken into account that the larger the distance between UE and gNB is, the less the RSRP value is.</w:t>
      </w:r>
      <w:r w:rsidR="007A50C3">
        <w:rPr>
          <w:rFonts w:eastAsia="宋体"/>
          <w:position w:val="-10"/>
          <w:sz w:val="20"/>
          <w:szCs w:val="20"/>
        </w:rPr>
        <w:t xml:space="preserve"> </w:t>
      </w:r>
      <w:r>
        <w:rPr>
          <w:rFonts w:eastAsia="宋体"/>
          <w:position w:val="-10"/>
          <w:sz w:val="20"/>
          <w:szCs w:val="20"/>
        </w:rPr>
        <w:t>When the RSRP value is less than the RSRP threshold, the UE considers that the distance between UE and gNB is larger than the</w:t>
      </w:r>
      <w:r w:rsidR="004430F0">
        <w:rPr>
          <w:rFonts w:eastAsia="宋体"/>
          <w:position w:val="-10"/>
          <w:sz w:val="20"/>
          <w:szCs w:val="20"/>
        </w:rPr>
        <w:t xml:space="preserve"> </w:t>
      </w:r>
      <w:r>
        <w:rPr>
          <w:rFonts w:eastAsia="宋体"/>
          <w:position w:val="-10"/>
          <w:sz w:val="20"/>
          <w:szCs w:val="20"/>
        </w:rPr>
        <w:t xml:space="preserve">least distance that needs propagation delay compensation, and begins to apply propagation delay compensation. </w:t>
      </w:r>
    </w:p>
    <w:p w14:paraId="4CECD59F" w14:textId="624DB11F" w:rsidR="00B74A72" w:rsidRDefault="00881669" w:rsidP="00C6696E">
      <w:pPr>
        <w:spacing w:beforeLines="20" w:before="48" w:after="120"/>
        <w:rPr>
          <w:rFonts w:eastAsia="宋体"/>
          <w:position w:val="-10"/>
          <w:sz w:val="20"/>
          <w:szCs w:val="20"/>
        </w:rPr>
      </w:pPr>
      <w:r>
        <w:rPr>
          <w:rFonts w:eastAsia="宋体"/>
          <w:position w:val="-10"/>
          <w:sz w:val="20"/>
          <w:szCs w:val="20"/>
        </w:rPr>
        <w:t xml:space="preserve">For the solution 1, the maximal cell radius is difficult to </w:t>
      </w:r>
      <w:r w:rsidR="00476AEF">
        <w:rPr>
          <w:rFonts w:eastAsia="宋体"/>
          <w:position w:val="-10"/>
          <w:sz w:val="20"/>
          <w:szCs w:val="20"/>
        </w:rPr>
        <w:t>be accurately determined</w:t>
      </w:r>
      <w:r>
        <w:rPr>
          <w:rFonts w:eastAsia="宋体"/>
          <w:position w:val="-10"/>
          <w:sz w:val="20"/>
          <w:szCs w:val="20"/>
        </w:rPr>
        <w:t xml:space="preserve">. Furthermore, the least distance that needs propagation delay compensation depends on the SCS setting. Once the SCS setting changes, the least distance that needs propagation delay compensation will also changes, even the maximal cell radius is fixed. </w:t>
      </w:r>
      <w:r w:rsidR="00476AEF">
        <w:rPr>
          <w:rFonts w:eastAsia="宋体"/>
          <w:position w:val="-10"/>
          <w:sz w:val="20"/>
          <w:szCs w:val="20"/>
        </w:rPr>
        <w:t>All these issues would make it difficult</w:t>
      </w:r>
      <w:r>
        <w:rPr>
          <w:rFonts w:eastAsia="宋体"/>
          <w:position w:val="-10"/>
          <w:sz w:val="20"/>
          <w:szCs w:val="20"/>
        </w:rPr>
        <w:t xml:space="preserve"> for gNB to set the indication for propagation delay compensation. </w:t>
      </w:r>
    </w:p>
    <w:p w14:paraId="34CC065C" w14:textId="7ACD1E51" w:rsidR="00B74A72" w:rsidRDefault="00881669" w:rsidP="00C6696E">
      <w:pPr>
        <w:spacing w:beforeLines="20" w:before="48" w:after="120"/>
        <w:rPr>
          <w:rFonts w:eastAsia="宋体"/>
          <w:position w:val="-10"/>
          <w:sz w:val="20"/>
          <w:szCs w:val="20"/>
        </w:rPr>
      </w:pPr>
      <w:r>
        <w:rPr>
          <w:rFonts w:eastAsia="宋体"/>
          <w:position w:val="-10"/>
          <w:sz w:val="20"/>
          <w:szCs w:val="20"/>
        </w:rPr>
        <w:t>For the solution 2, taken into account the different radio channel fading scenario</w:t>
      </w:r>
      <w:r w:rsidR="00476AEF">
        <w:rPr>
          <w:rFonts w:eastAsia="宋体"/>
          <w:position w:val="-10"/>
          <w:sz w:val="20"/>
          <w:szCs w:val="20"/>
        </w:rPr>
        <w:t>s</w:t>
      </w:r>
      <w:r>
        <w:rPr>
          <w:rFonts w:eastAsia="宋体"/>
          <w:position w:val="-10"/>
          <w:sz w:val="20"/>
          <w:szCs w:val="20"/>
        </w:rPr>
        <w:t xml:space="preserve"> exist, the RSRP value </w:t>
      </w:r>
      <w:r w:rsidR="00324023">
        <w:rPr>
          <w:rFonts w:eastAsia="宋体"/>
          <w:position w:val="-10"/>
          <w:sz w:val="20"/>
          <w:szCs w:val="20"/>
        </w:rPr>
        <w:t xml:space="preserve">change is not always linear </w:t>
      </w:r>
      <w:r>
        <w:rPr>
          <w:rFonts w:eastAsia="宋体"/>
          <w:position w:val="-10"/>
          <w:sz w:val="20"/>
          <w:szCs w:val="20"/>
        </w:rPr>
        <w:t xml:space="preserve">with the distance between UE and gNB. </w:t>
      </w:r>
      <w:r w:rsidR="00324023">
        <w:rPr>
          <w:rFonts w:eastAsia="宋体"/>
          <w:position w:val="-10"/>
          <w:sz w:val="20"/>
          <w:szCs w:val="20"/>
        </w:rPr>
        <w:t>Therefore, it</w:t>
      </w:r>
      <w:r>
        <w:rPr>
          <w:rFonts w:eastAsia="宋体"/>
          <w:position w:val="-10"/>
          <w:sz w:val="20"/>
          <w:szCs w:val="20"/>
        </w:rPr>
        <w:t xml:space="preserve"> is difficult to estimate the distance between UE and gNB based on the RSRP value.</w:t>
      </w:r>
    </w:p>
    <w:p w14:paraId="121CC9D9" w14:textId="09D6F9F1" w:rsidR="00B74A72" w:rsidRDefault="00881669" w:rsidP="00C6696E">
      <w:pPr>
        <w:spacing w:beforeLines="20" w:before="48" w:after="120"/>
        <w:rPr>
          <w:rFonts w:eastAsia="宋体"/>
          <w:position w:val="-10"/>
          <w:sz w:val="20"/>
          <w:szCs w:val="20"/>
        </w:rPr>
      </w:pPr>
      <w:r>
        <w:rPr>
          <w:rFonts w:eastAsia="宋体"/>
          <w:b/>
          <w:bCs/>
          <w:position w:val="-10"/>
          <w:sz w:val="20"/>
          <w:szCs w:val="20"/>
        </w:rPr>
        <w:t xml:space="preserve">Observation </w:t>
      </w:r>
      <w:r w:rsidR="0031511E">
        <w:rPr>
          <w:rFonts w:eastAsia="宋体"/>
          <w:b/>
          <w:bCs/>
          <w:position w:val="-10"/>
          <w:sz w:val="20"/>
          <w:szCs w:val="20"/>
        </w:rPr>
        <w:t>4</w:t>
      </w:r>
      <w:r>
        <w:rPr>
          <w:rFonts w:eastAsia="宋体"/>
          <w:b/>
          <w:bCs/>
          <w:position w:val="-10"/>
          <w:sz w:val="20"/>
          <w:szCs w:val="20"/>
        </w:rPr>
        <w:t xml:space="preserve">: It is difficult to accurately control when to </w:t>
      </w:r>
      <w:r w:rsidR="00324023">
        <w:rPr>
          <w:rFonts w:eastAsia="宋体"/>
          <w:b/>
          <w:bCs/>
          <w:position w:val="-10"/>
          <w:sz w:val="20"/>
          <w:szCs w:val="20"/>
        </w:rPr>
        <w:t xml:space="preserve">perform or stop </w:t>
      </w:r>
      <w:r>
        <w:rPr>
          <w:rFonts w:eastAsia="宋体"/>
          <w:b/>
          <w:bCs/>
          <w:position w:val="-10"/>
          <w:sz w:val="20"/>
          <w:szCs w:val="20"/>
        </w:rPr>
        <w:t xml:space="preserve">propagation delay compensation. </w:t>
      </w:r>
    </w:p>
    <w:p w14:paraId="757835D0" w14:textId="23E8C6C5" w:rsidR="0031511E" w:rsidRDefault="00324023" w:rsidP="0031511E">
      <w:pPr>
        <w:spacing w:beforeLines="20" w:before="48" w:after="120"/>
        <w:rPr>
          <w:rFonts w:eastAsia="宋体"/>
          <w:b/>
          <w:bCs/>
          <w:position w:val="-10"/>
          <w:sz w:val="20"/>
          <w:szCs w:val="20"/>
        </w:rPr>
      </w:pPr>
      <w:r>
        <w:rPr>
          <w:rFonts w:eastAsia="宋体"/>
          <w:position w:val="-10"/>
          <w:sz w:val="20"/>
          <w:szCs w:val="20"/>
        </w:rPr>
        <w:t>Based on observation 3</w:t>
      </w:r>
      <w:r w:rsidR="0031511E">
        <w:rPr>
          <w:rFonts w:eastAsia="宋体"/>
          <w:position w:val="-10"/>
          <w:sz w:val="20"/>
          <w:szCs w:val="20"/>
        </w:rPr>
        <w:t xml:space="preserve"> and 4</w:t>
      </w:r>
      <w:r>
        <w:rPr>
          <w:rFonts w:eastAsia="宋体"/>
          <w:position w:val="-10"/>
          <w:sz w:val="20"/>
          <w:szCs w:val="20"/>
        </w:rPr>
        <w:t xml:space="preserve">, we suggest that </w:t>
      </w:r>
      <w:r w:rsidRPr="00324023">
        <w:rPr>
          <w:rFonts w:eastAsia="宋体" w:hint="eastAsia"/>
          <w:position w:val="-10"/>
          <w:sz w:val="20"/>
          <w:szCs w:val="20"/>
        </w:rPr>
        <w:t xml:space="preserve">UE performs propagation delay compensation with </w:t>
      </w:r>
      <w:r w:rsidRPr="00324023">
        <w:rPr>
          <w:rFonts w:eastAsia="宋体" w:hint="eastAsia"/>
          <w:position w:val="-10"/>
          <w:sz w:val="20"/>
          <w:szCs w:val="20"/>
        </w:rPr>
        <w:object w:dxaOrig="439" w:dyaOrig="281" w14:anchorId="3BEE84BD">
          <v:shape id="_x0000_i1033" type="#_x0000_t75" style="width:21.95pt;height:13.85pt" o:ole="">
            <v:imagedata r:id="rId9" o:title=""/>
          </v:shape>
          <o:OLEObject Type="Embed" ProgID="Equation.3" ShapeID="_x0000_i1033" DrawAspect="Content" ObjectID="_1618357925" r:id="rId24"/>
        </w:object>
      </w:r>
      <w:r w:rsidRPr="00324023">
        <w:rPr>
          <w:rFonts w:eastAsia="宋体" w:hint="eastAsia"/>
          <w:position w:val="-10"/>
          <w:sz w:val="20"/>
          <w:szCs w:val="20"/>
        </w:rPr>
        <w:t>/2</w:t>
      </w:r>
      <w:r w:rsidRPr="00324023">
        <w:rPr>
          <w:rFonts w:eastAsia="宋体"/>
          <w:position w:val="-10"/>
          <w:sz w:val="20"/>
          <w:szCs w:val="20"/>
        </w:rPr>
        <w:t xml:space="preserve"> regardless</w:t>
      </w:r>
      <w:r w:rsidR="00B25B74">
        <w:rPr>
          <w:rFonts w:eastAsia="宋体"/>
          <w:position w:val="-10"/>
          <w:sz w:val="20"/>
          <w:szCs w:val="20"/>
        </w:rPr>
        <w:t xml:space="preserve"> </w:t>
      </w:r>
      <w:r w:rsidR="00B25B74">
        <w:rPr>
          <w:rFonts w:eastAsia="宋体" w:hint="eastAsia"/>
          <w:position w:val="-10"/>
          <w:sz w:val="20"/>
          <w:szCs w:val="20"/>
        </w:rPr>
        <w:t>of</w:t>
      </w:r>
      <w:r w:rsidRPr="00324023">
        <w:rPr>
          <w:rFonts w:eastAsia="宋体"/>
          <w:position w:val="-10"/>
          <w:sz w:val="20"/>
          <w:szCs w:val="20"/>
        </w:rPr>
        <w:t xml:space="preserve"> the</w:t>
      </w:r>
      <w:r>
        <w:rPr>
          <w:rFonts w:eastAsia="宋体"/>
          <w:position w:val="-10"/>
          <w:sz w:val="20"/>
          <w:szCs w:val="20"/>
        </w:rPr>
        <w:t xml:space="preserve"> distance between UE and gNB. </w:t>
      </w:r>
    </w:p>
    <w:p w14:paraId="0BEFA5FD" w14:textId="171FF25B" w:rsidR="00B74A72" w:rsidRDefault="00881669" w:rsidP="00C6696E">
      <w:pPr>
        <w:spacing w:beforeLines="20" w:before="48" w:after="120"/>
        <w:rPr>
          <w:rFonts w:eastAsia="宋体"/>
          <w:b/>
          <w:bCs/>
          <w:sz w:val="20"/>
          <w:szCs w:val="20"/>
        </w:rPr>
      </w:pPr>
      <w:r>
        <w:rPr>
          <w:rFonts w:eastAsia="宋体"/>
          <w:b/>
          <w:bCs/>
          <w:sz w:val="20"/>
          <w:szCs w:val="20"/>
        </w:rPr>
        <w:t xml:space="preserve">Proposal 2: </w:t>
      </w:r>
      <w:r w:rsidR="00324023">
        <w:rPr>
          <w:rFonts w:eastAsia="宋体"/>
          <w:b/>
          <w:bCs/>
          <w:sz w:val="20"/>
          <w:szCs w:val="20"/>
        </w:rPr>
        <w:t xml:space="preserve">It’s suggested that </w:t>
      </w:r>
      <w:r>
        <w:rPr>
          <w:rFonts w:eastAsia="宋体" w:hint="eastAsia"/>
          <w:b/>
          <w:bCs/>
          <w:sz w:val="20"/>
          <w:szCs w:val="20"/>
        </w:rPr>
        <w:t>UE performs propagation delay compensation with</w:t>
      </w:r>
      <w:r w:rsidR="007A50C3" w:rsidRPr="00324023">
        <w:rPr>
          <w:rFonts w:eastAsia="宋体" w:hint="eastAsia"/>
          <w:position w:val="-10"/>
          <w:sz w:val="20"/>
          <w:szCs w:val="20"/>
        </w:rPr>
        <w:object w:dxaOrig="439" w:dyaOrig="281" w14:anchorId="70FCDAA0">
          <v:shape id="_x0000_i1034" type="#_x0000_t75" style="width:21.95pt;height:13.85pt" o:ole="">
            <v:imagedata r:id="rId9" o:title=""/>
          </v:shape>
          <o:OLEObject Type="Embed" ProgID="Equation.3" ShapeID="_x0000_i1034" DrawAspect="Content" ObjectID="_1618357926" r:id="rId25"/>
        </w:object>
      </w:r>
      <w:r w:rsidR="007A50C3" w:rsidRPr="00324023">
        <w:rPr>
          <w:rFonts w:eastAsia="宋体" w:hint="eastAsia"/>
          <w:position w:val="-10"/>
          <w:sz w:val="20"/>
          <w:szCs w:val="20"/>
        </w:rPr>
        <w:t>/2</w:t>
      </w:r>
      <w:r w:rsidR="00324023">
        <w:rPr>
          <w:rFonts w:eastAsia="宋体"/>
          <w:b/>
          <w:bCs/>
          <w:sz w:val="20"/>
          <w:szCs w:val="20"/>
        </w:rPr>
        <w:t>regardless</w:t>
      </w:r>
      <w:r w:rsidR="00B25B74">
        <w:rPr>
          <w:rFonts w:eastAsia="宋体"/>
          <w:b/>
          <w:bCs/>
          <w:sz w:val="20"/>
          <w:szCs w:val="20"/>
        </w:rPr>
        <w:t xml:space="preserve"> </w:t>
      </w:r>
      <w:r w:rsidR="00B25B74">
        <w:rPr>
          <w:rFonts w:eastAsia="宋体" w:hint="eastAsia"/>
          <w:b/>
          <w:bCs/>
          <w:sz w:val="20"/>
          <w:szCs w:val="20"/>
        </w:rPr>
        <w:t>of</w:t>
      </w:r>
      <w:r w:rsidR="00B25B74">
        <w:rPr>
          <w:rFonts w:eastAsia="宋体"/>
          <w:b/>
          <w:bCs/>
          <w:sz w:val="20"/>
          <w:szCs w:val="20"/>
        </w:rPr>
        <w:t xml:space="preserve"> </w:t>
      </w:r>
      <w:r>
        <w:rPr>
          <w:rFonts w:eastAsia="宋体" w:hint="eastAsia"/>
          <w:b/>
          <w:bCs/>
          <w:sz w:val="20"/>
          <w:szCs w:val="20"/>
        </w:rPr>
        <w:t>the distance between UE and gNB.</w:t>
      </w:r>
      <w:r>
        <w:rPr>
          <w:rFonts w:eastAsia="宋体"/>
          <w:b/>
          <w:bCs/>
          <w:sz w:val="20"/>
          <w:szCs w:val="20"/>
        </w:rPr>
        <w:t xml:space="preserve"> </w:t>
      </w:r>
    </w:p>
    <w:p w14:paraId="03BF919D" w14:textId="77831738" w:rsidR="00B74A72" w:rsidRDefault="000B073D" w:rsidP="00C6696E">
      <w:pPr>
        <w:spacing w:beforeLines="20" w:before="48" w:after="120"/>
        <w:rPr>
          <w:sz w:val="20"/>
          <w:szCs w:val="20"/>
        </w:rPr>
      </w:pPr>
      <w:r>
        <w:rPr>
          <w:sz w:val="20"/>
          <w:szCs w:val="20"/>
        </w:rPr>
        <w:t>There exists</w:t>
      </w:r>
      <w:r w:rsidR="00881669">
        <w:rPr>
          <w:sz w:val="20"/>
          <w:szCs w:val="20"/>
        </w:rPr>
        <w:t xml:space="preserve"> the case that the valid TA may be not available for UE when receiving </w:t>
      </w:r>
      <w:r w:rsidR="00881669">
        <w:rPr>
          <w:i/>
          <w:iCs/>
          <w:sz w:val="20"/>
          <w:szCs w:val="20"/>
        </w:rPr>
        <w:t xml:space="preserve">time </w:t>
      </w:r>
      <w:r w:rsidR="00881669">
        <w:rPr>
          <w:sz w:val="20"/>
          <w:szCs w:val="20"/>
        </w:rPr>
        <w:t xml:space="preserve">info, especially for idle mode UE. But </w:t>
      </w:r>
      <w:r>
        <w:rPr>
          <w:sz w:val="20"/>
          <w:szCs w:val="20"/>
        </w:rPr>
        <w:t xml:space="preserve">considering that </w:t>
      </w:r>
      <w:r w:rsidR="00881669">
        <w:rPr>
          <w:sz w:val="20"/>
          <w:szCs w:val="20"/>
        </w:rPr>
        <w:t>the accurate time delivery from gNB to UE is mainly used to synchronize the timing between UE and gNB for time sensitive communication</w:t>
      </w:r>
      <w:r>
        <w:rPr>
          <w:sz w:val="20"/>
          <w:szCs w:val="20"/>
        </w:rPr>
        <w:t xml:space="preserve"> and the </w:t>
      </w:r>
      <w:r w:rsidR="00881669">
        <w:rPr>
          <w:sz w:val="20"/>
          <w:szCs w:val="20"/>
        </w:rPr>
        <w:t>time sensitive communication usually be performed in RRC_CONNECTED mode</w:t>
      </w:r>
      <w:r>
        <w:rPr>
          <w:sz w:val="20"/>
          <w:szCs w:val="20"/>
        </w:rPr>
        <w:t>, we think this is not big issue</w:t>
      </w:r>
      <w:r w:rsidR="00881669">
        <w:rPr>
          <w:sz w:val="20"/>
          <w:szCs w:val="20"/>
        </w:rPr>
        <w:t xml:space="preserve">. </w:t>
      </w:r>
      <w:r>
        <w:rPr>
          <w:sz w:val="20"/>
          <w:szCs w:val="20"/>
        </w:rPr>
        <w:t xml:space="preserve">If </w:t>
      </w:r>
      <w:r w:rsidR="00881669">
        <w:rPr>
          <w:sz w:val="20"/>
          <w:szCs w:val="20"/>
        </w:rPr>
        <w:t xml:space="preserve">valid TA is not available for UE when receiving </w:t>
      </w:r>
      <w:r w:rsidR="00881669">
        <w:rPr>
          <w:i/>
          <w:iCs/>
          <w:sz w:val="20"/>
          <w:szCs w:val="20"/>
        </w:rPr>
        <w:t xml:space="preserve">time </w:t>
      </w:r>
      <w:r w:rsidR="00881669">
        <w:rPr>
          <w:sz w:val="20"/>
          <w:szCs w:val="20"/>
        </w:rPr>
        <w:t xml:space="preserve">info, UE can record the </w:t>
      </w:r>
      <w:r w:rsidR="00881669">
        <w:rPr>
          <w:i/>
          <w:iCs/>
          <w:sz w:val="20"/>
          <w:szCs w:val="20"/>
        </w:rPr>
        <w:t xml:space="preserve">time </w:t>
      </w:r>
      <w:r w:rsidR="00881669">
        <w:rPr>
          <w:sz w:val="20"/>
          <w:szCs w:val="20"/>
        </w:rPr>
        <w:t>info and start a</w:t>
      </w:r>
      <w:r w:rsidR="00D413C2">
        <w:rPr>
          <w:sz w:val="20"/>
          <w:szCs w:val="20"/>
        </w:rPr>
        <w:t xml:space="preserve"> </w:t>
      </w:r>
      <w:r w:rsidR="00881669">
        <w:rPr>
          <w:sz w:val="20"/>
          <w:szCs w:val="20"/>
        </w:rPr>
        <w:t xml:space="preserve">slave clock, or UE can update the time clock based on the </w:t>
      </w:r>
      <w:r w:rsidR="00881669">
        <w:rPr>
          <w:i/>
          <w:iCs/>
          <w:sz w:val="20"/>
          <w:szCs w:val="20"/>
        </w:rPr>
        <w:t xml:space="preserve">time </w:t>
      </w:r>
      <w:r w:rsidR="00881669">
        <w:rPr>
          <w:sz w:val="20"/>
          <w:szCs w:val="20"/>
        </w:rPr>
        <w:t xml:space="preserve">info. Once valid TA is obtained, UE can apply the propagation delay compensation based on the obtained TA. </w:t>
      </w:r>
      <w:r>
        <w:rPr>
          <w:sz w:val="20"/>
          <w:szCs w:val="20"/>
        </w:rPr>
        <w:t>That means</w:t>
      </w:r>
      <w:r w:rsidR="00881669">
        <w:rPr>
          <w:sz w:val="20"/>
          <w:szCs w:val="20"/>
        </w:rPr>
        <w:t xml:space="preserve"> the </w:t>
      </w:r>
      <w:r w:rsidR="00881669">
        <w:rPr>
          <w:i/>
          <w:iCs/>
          <w:sz w:val="20"/>
          <w:szCs w:val="20"/>
        </w:rPr>
        <w:t xml:space="preserve">time </w:t>
      </w:r>
      <w:r w:rsidR="00881669">
        <w:rPr>
          <w:sz w:val="20"/>
          <w:szCs w:val="20"/>
        </w:rPr>
        <w:t xml:space="preserve">info receiving and propagation delay compensation can be performed in different </w:t>
      </w:r>
      <w:r>
        <w:rPr>
          <w:sz w:val="20"/>
          <w:szCs w:val="20"/>
        </w:rPr>
        <w:t>opportunities</w:t>
      </w:r>
      <w:r w:rsidR="00881669">
        <w:rPr>
          <w:sz w:val="20"/>
          <w:szCs w:val="20"/>
        </w:rPr>
        <w:t>.</w:t>
      </w:r>
    </w:p>
    <w:p w14:paraId="6741D813" w14:textId="5EF6BFF0" w:rsidR="00B74A72" w:rsidRDefault="00881669" w:rsidP="00C6696E">
      <w:pPr>
        <w:spacing w:beforeLines="20" w:before="48" w:after="120"/>
        <w:rPr>
          <w:sz w:val="20"/>
          <w:szCs w:val="20"/>
        </w:rPr>
      </w:pPr>
      <w:r>
        <w:rPr>
          <w:rFonts w:eastAsia="宋体"/>
          <w:b/>
          <w:bCs/>
          <w:sz w:val="20"/>
          <w:szCs w:val="20"/>
        </w:rPr>
        <w:t xml:space="preserve">Proposal 3: </w:t>
      </w:r>
      <w:r>
        <w:rPr>
          <w:b/>
          <w:bCs/>
          <w:sz w:val="20"/>
          <w:szCs w:val="20"/>
        </w:rPr>
        <w:t>UE can apply the propagation delay compensation</w:t>
      </w:r>
      <w:r>
        <w:rPr>
          <w:rFonts w:hint="eastAsia"/>
          <w:b/>
          <w:bCs/>
          <w:sz w:val="20"/>
          <w:szCs w:val="20"/>
        </w:rPr>
        <w:t xml:space="preserve"> </w:t>
      </w:r>
      <w:r w:rsidR="000B073D">
        <w:rPr>
          <w:b/>
          <w:bCs/>
          <w:sz w:val="20"/>
          <w:szCs w:val="20"/>
        </w:rPr>
        <w:t xml:space="preserve">till </w:t>
      </w:r>
      <w:r>
        <w:rPr>
          <w:b/>
          <w:bCs/>
          <w:sz w:val="20"/>
          <w:szCs w:val="20"/>
        </w:rPr>
        <w:t>valid TA is available</w:t>
      </w:r>
      <w:r>
        <w:rPr>
          <w:rFonts w:hint="eastAsia"/>
          <w:sz w:val="20"/>
          <w:szCs w:val="20"/>
        </w:rPr>
        <w:t>.</w:t>
      </w:r>
      <w:r w:rsidR="000B073D">
        <w:rPr>
          <w:sz w:val="20"/>
          <w:szCs w:val="20"/>
        </w:rPr>
        <w:t xml:space="preserve"> </w:t>
      </w:r>
      <w:r>
        <w:rPr>
          <w:rFonts w:eastAsia="宋体" w:hint="eastAsia"/>
          <w:b/>
          <w:bCs/>
          <w:sz w:val="20"/>
          <w:szCs w:val="20"/>
        </w:rPr>
        <w:t>Whe</w:t>
      </w:r>
      <w:r>
        <w:rPr>
          <w:rFonts w:eastAsia="宋体"/>
          <w:b/>
          <w:bCs/>
          <w:sz w:val="20"/>
          <w:szCs w:val="20"/>
        </w:rPr>
        <w:t xml:space="preserve">ther </w:t>
      </w:r>
      <w:r>
        <w:rPr>
          <w:rFonts w:hint="eastAsia"/>
          <w:b/>
          <w:bCs/>
          <w:sz w:val="20"/>
          <w:szCs w:val="20"/>
        </w:rPr>
        <w:t xml:space="preserve">the </w:t>
      </w:r>
      <w:r>
        <w:rPr>
          <w:b/>
          <w:bCs/>
          <w:sz w:val="20"/>
          <w:szCs w:val="20"/>
        </w:rPr>
        <w:t xml:space="preserve">TA is </w:t>
      </w:r>
      <w:r>
        <w:rPr>
          <w:rFonts w:hint="eastAsia"/>
          <w:b/>
          <w:bCs/>
          <w:sz w:val="20"/>
          <w:szCs w:val="20"/>
        </w:rPr>
        <w:t>valid</w:t>
      </w:r>
      <w:r>
        <w:rPr>
          <w:rFonts w:eastAsia="宋体"/>
          <w:b/>
          <w:bCs/>
          <w:sz w:val="20"/>
          <w:szCs w:val="20"/>
        </w:rPr>
        <w:t xml:space="preserve"> is left to UE implementation.</w:t>
      </w:r>
    </w:p>
    <w:p w14:paraId="640B38E7" w14:textId="77777777" w:rsidR="00B74A72" w:rsidRDefault="00881669" w:rsidP="00C6696E">
      <w:pPr>
        <w:spacing w:beforeLines="20" w:before="48" w:after="120"/>
        <w:rPr>
          <w:rFonts w:eastAsia="宋体"/>
          <w:sz w:val="20"/>
          <w:szCs w:val="20"/>
        </w:rPr>
      </w:pPr>
      <w:r>
        <w:rPr>
          <w:rFonts w:hint="eastAsia"/>
          <w:sz w:val="20"/>
          <w:szCs w:val="20"/>
        </w:rPr>
        <w:t xml:space="preserve">To support TSC service, the gNB should deliver the </w:t>
      </w:r>
      <w:r>
        <w:rPr>
          <w:sz w:val="20"/>
          <w:szCs w:val="20"/>
        </w:rPr>
        <w:t xml:space="preserve">accurate reference timing </w:t>
      </w:r>
      <w:r>
        <w:rPr>
          <w:rFonts w:eastAsia="宋体" w:hint="eastAsia"/>
          <w:sz w:val="20"/>
          <w:szCs w:val="20"/>
        </w:rPr>
        <w:t>to UE</w:t>
      </w:r>
      <w:r>
        <w:rPr>
          <w:rFonts w:eastAsia="宋体"/>
          <w:sz w:val="20"/>
          <w:szCs w:val="20"/>
        </w:rPr>
        <w:t xml:space="preserve"> and the</w:t>
      </w:r>
      <w:r>
        <w:rPr>
          <w:rFonts w:eastAsia="宋体" w:hint="eastAsia"/>
          <w:sz w:val="20"/>
          <w:szCs w:val="20"/>
        </w:rPr>
        <w:t xml:space="preserve"> time granularity should satisfy the TSC delay accuracy requirement. </w:t>
      </w:r>
      <w:r>
        <w:rPr>
          <w:rFonts w:eastAsia="宋体"/>
          <w:sz w:val="20"/>
          <w:szCs w:val="20"/>
        </w:rPr>
        <w:t>However, as</w:t>
      </w:r>
      <w:r>
        <w:rPr>
          <w:sz w:val="20"/>
          <w:szCs w:val="20"/>
        </w:rPr>
        <w:t xml:space="preserve"> delivering accurate reference timing</w:t>
      </w:r>
      <w:r>
        <w:rPr>
          <w:rFonts w:eastAsia="宋体" w:hint="eastAsia"/>
          <w:sz w:val="20"/>
          <w:szCs w:val="20"/>
        </w:rPr>
        <w:t xml:space="preserve"> will cost extra radio resource</w:t>
      </w:r>
      <w:r>
        <w:rPr>
          <w:rFonts w:eastAsia="宋体"/>
          <w:sz w:val="20"/>
          <w:szCs w:val="20"/>
        </w:rPr>
        <w:t xml:space="preserve">, we can assume not all the cells will support such higher </w:t>
      </w:r>
      <w:r>
        <w:rPr>
          <w:sz w:val="20"/>
          <w:szCs w:val="20"/>
        </w:rPr>
        <w:t>accurate reference timing delivery. Moreover, anyway there exists some legacy gNBs which cannot support</w:t>
      </w:r>
      <w:r>
        <w:rPr>
          <w:rFonts w:eastAsia="宋体"/>
          <w:sz w:val="20"/>
          <w:szCs w:val="20"/>
        </w:rPr>
        <w:t xml:space="preserve"> higher </w:t>
      </w:r>
      <w:r>
        <w:rPr>
          <w:sz w:val="20"/>
          <w:szCs w:val="20"/>
        </w:rPr>
        <w:t xml:space="preserve">accurate reference timing delivery. As a result, TSC services will be supported </w:t>
      </w:r>
      <w:r>
        <w:rPr>
          <w:sz w:val="20"/>
          <w:szCs w:val="20"/>
        </w:rPr>
        <w:lastRenderedPageBreak/>
        <w:t xml:space="preserve">under only part of gNBs/cells. </w:t>
      </w:r>
      <w:r>
        <w:rPr>
          <w:rFonts w:eastAsia="宋体"/>
          <w:sz w:val="20"/>
          <w:szCs w:val="20"/>
        </w:rPr>
        <w:t xml:space="preserve">If a TSC UE camps on a cell without higher </w:t>
      </w:r>
      <w:r>
        <w:rPr>
          <w:sz w:val="20"/>
          <w:szCs w:val="20"/>
        </w:rPr>
        <w:t>accurate reference timing</w:t>
      </w:r>
      <w:r>
        <w:rPr>
          <w:rFonts w:eastAsia="宋体"/>
          <w:sz w:val="20"/>
          <w:szCs w:val="20"/>
        </w:rPr>
        <w:t xml:space="preserve"> delivery, it cannot perform TSC service</w:t>
      </w:r>
      <w:r>
        <w:rPr>
          <w:rFonts w:eastAsia="宋体" w:hint="eastAsia"/>
          <w:sz w:val="20"/>
          <w:szCs w:val="20"/>
        </w:rPr>
        <w:t xml:space="preserve"> normally</w:t>
      </w:r>
      <w:r>
        <w:rPr>
          <w:rFonts w:eastAsia="宋体"/>
          <w:sz w:val="20"/>
          <w:szCs w:val="20"/>
        </w:rPr>
        <w:t xml:space="preserve">, which will impact the </w:t>
      </w:r>
      <w:r>
        <w:rPr>
          <w:rFonts w:eastAsia="宋体" w:hint="eastAsia"/>
          <w:sz w:val="20"/>
          <w:szCs w:val="20"/>
        </w:rPr>
        <w:t xml:space="preserve">TSC </w:t>
      </w:r>
      <w:r>
        <w:rPr>
          <w:rFonts w:eastAsia="宋体"/>
          <w:sz w:val="20"/>
          <w:szCs w:val="20"/>
        </w:rPr>
        <w:t xml:space="preserve">service availability. </w:t>
      </w:r>
    </w:p>
    <w:p w14:paraId="1D92D441" w14:textId="77777777" w:rsidR="00B74A72" w:rsidRDefault="00881669" w:rsidP="00C6696E">
      <w:pPr>
        <w:spacing w:beforeLines="20" w:before="48" w:after="120"/>
        <w:rPr>
          <w:rFonts w:eastAsia="宋体"/>
          <w:b/>
          <w:bCs/>
          <w:sz w:val="20"/>
          <w:szCs w:val="20"/>
        </w:rPr>
      </w:pPr>
      <w:r>
        <w:rPr>
          <w:rFonts w:eastAsia="宋体"/>
          <w:b/>
          <w:bCs/>
          <w:sz w:val="20"/>
          <w:szCs w:val="20"/>
        </w:rPr>
        <w:t>Observation 5:</w:t>
      </w:r>
      <w:r>
        <w:rPr>
          <w:rFonts w:eastAsia="宋体" w:hint="eastAsia"/>
          <w:sz w:val="20"/>
          <w:szCs w:val="20"/>
        </w:rPr>
        <w:t xml:space="preserve"> </w:t>
      </w:r>
      <w:r>
        <w:rPr>
          <w:rFonts w:eastAsia="宋体" w:hint="eastAsia"/>
          <w:b/>
          <w:bCs/>
          <w:sz w:val="20"/>
          <w:szCs w:val="20"/>
        </w:rPr>
        <w:t>If a TSC UE camps on a cell without higher</w:t>
      </w:r>
      <w:r>
        <w:rPr>
          <w:rFonts w:eastAsia="宋体"/>
          <w:b/>
          <w:bCs/>
          <w:sz w:val="20"/>
          <w:szCs w:val="20"/>
        </w:rPr>
        <w:t xml:space="preserve"> </w:t>
      </w:r>
      <w:r>
        <w:rPr>
          <w:b/>
          <w:bCs/>
          <w:sz w:val="20"/>
          <w:szCs w:val="20"/>
        </w:rPr>
        <w:t>accurate reference timing</w:t>
      </w:r>
      <w:r>
        <w:rPr>
          <w:rFonts w:eastAsia="宋体" w:hint="eastAsia"/>
          <w:b/>
          <w:bCs/>
          <w:sz w:val="20"/>
          <w:szCs w:val="20"/>
        </w:rPr>
        <w:t xml:space="preserve"> delivery, it cannot perform TSC service normally, which will impact the TSC service availability.</w:t>
      </w:r>
    </w:p>
    <w:p w14:paraId="3D98AFB9" w14:textId="4D8AB79D" w:rsidR="000F2AB2" w:rsidRDefault="000F2AB2" w:rsidP="000F2AB2">
      <w:pPr>
        <w:rPr>
          <w:rFonts w:eastAsia="宋体"/>
          <w:sz w:val="20"/>
          <w:szCs w:val="20"/>
        </w:rPr>
      </w:pPr>
      <w:r>
        <w:rPr>
          <w:rFonts w:eastAsia="宋体"/>
          <w:sz w:val="20"/>
          <w:szCs w:val="20"/>
        </w:rPr>
        <w:t>Then RAN2 needs to discuss what the expected UE behavior is if</w:t>
      </w:r>
      <w:r>
        <w:rPr>
          <w:rFonts w:eastAsia="宋体" w:hint="eastAsia"/>
          <w:sz w:val="20"/>
          <w:szCs w:val="20"/>
        </w:rPr>
        <w:t xml:space="preserve"> </w:t>
      </w:r>
      <w:r>
        <w:rPr>
          <w:rFonts w:eastAsia="宋体"/>
          <w:sz w:val="20"/>
          <w:szCs w:val="20"/>
        </w:rPr>
        <w:t>a</w:t>
      </w:r>
      <w:r>
        <w:rPr>
          <w:rFonts w:eastAsia="宋体" w:hint="eastAsia"/>
          <w:sz w:val="20"/>
          <w:szCs w:val="20"/>
        </w:rPr>
        <w:t xml:space="preserve"> UE </w:t>
      </w:r>
      <w:r>
        <w:rPr>
          <w:rFonts w:eastAsia="宋体"/>
          <w:sz w:val="20"/>
          <w:szCs w:val="20"/>
        </w:rPr>
        <w:t xml:space="preserve">capable of TSC service </w:t>
      </w:r>
      <w:r>
        <w:rPr>
          <w:rFonts w:eastAsia="宋体" w:hint="eastAsia"/>
          <w:sz w:val="20"/>
          <w:szCs w:val="20"/>
        </w:rPr>
        <w:t xml:space="preserve">camps on a cell without </w:t>
      </w:r>
      <w:r>
        <w:rPr>
          <w:rFonts w:eastAsia="宋体"/>
          <w:sz w:val="20"/>
          <w:szCs w:val="20"/>
        </w:rPr>
        <w:t xml:space="preserve">higher </w:t>
      </w:r>
      <w:r>
        <w:rPr>
          <w:sz w:val="20"/>
          <w:szCs w:val="20"/>
        </w:rPr>
        <w:t>accurate reference timing</w:t>
      </w:r>
      <w:r>
        <w:rPr>
          <w:rFonts w:eastAsia="宋体" w:hint="eastAsia"/>
          <w:sz w:val="20"/>
          <w:szCs w:val="20"/>
        </w:rPr>
        <w:t xml:space="preserve"> delivery</w:t>
      </w:r>
      <w:r>
        <w:rPr>
          <w:rFonts w:eastAsia="宋体"/>
          <w:sz w:val="20"/>
          <w:szCs w:val="20"/>
        </w:rPr>
        <w:t>. For example, such UE may not trigger any TSC service or try its best to</w:t>
      </w:r>
      <w:r>
        <w:rPr>
          <w:rFonts w:eastAsia="宋体" w:hint="eastAsia"/>
          <w:sz w:val="20"/>
          <w:szCs w:val="20"/>
        </w:rPr>
        <w:t xml:space="preserve"> re-select to another cell with </w:t>
      </w:r>
      <w:r>
        <w:rPr>
          <w:sz w:val="20"/>
          <w:szCs w:val="20"/>
        </w:rPr>
        <w:t>accurate reference timing</w:t>
      </w:r>
      <w:r>
        <w:rPr>
          <w:rFonts w:eastAsia="宋体" w:hint="eastAsia"/>
          <w:sz w:val="20"/>
          <w:szCs w:val="20"/>
        </w:rPr>
        <w:t xml:space="preserve"> delivery</w:t>
      </w:r>
      <w:r>
        <w:rPr>
          <w:rFonts w:eastAsia="宋体"/>
          <w:sz w:val="20"/>
          <w:szCs w:val="20"/>
        </w:rPr>
        <w:t xml:space="preserve"> </w:t>
      </w:r>
      <w:r>
        <w:rPr>
          <w:rFonts w:eastAsia="宋体" w:hint="eastAsia"/>
          <w:sz w:val="20"/>
          <w:szCs w:val="20"/>
        </w:rPr>
        <w:t>with</w:t>
      </w:r>
      <w:r>
        <w:rPr>
          <w:rFonts w:eastAsia="宋体"/>
          <w:sz w:val="20"/>
          <w:szCs w:val="20"/>
        </w:rPr>
        <w:t xml:space="preserve"> </w:t>
      </w:r>
      <w:r>
        <w:rPr>
          <w:rFonts w:eastAsia="宋体" w:hint="eastAsia"/>
          <w:sz w:val="20"/>
          <w:szCs w:val="20"/>
        </w:rPr>
        <w:t>some</w:t>
      </w:r>
      <w:r>
        <w:rPr>
          <w:rFonts w:eastAsia="宋体"/>
          <w:sz w:val="20"/>
          <w:szCs w:val="20"/>
        </w:rPr>
        <w:t xml:space="preserve"> assistant </w:t>
      </w:r>
      <w:r>
        <w:rPr>
          <w:rFonts w:eastAsia="宋体" w:hint="eastAsia"/>
          <w:sz w:val="20"/>
          <w:szCs w:val="20"/>
        </w:rPr>
        <w:t>information</w:t>
      </w:r>
      <w:r>
        <w:rPr>
          <w:rFonts w:eastAsia="宋体"/>
          <w:sz w:val="20"/>
          <w:szCs w:val="20"/>
        </w:rPr>
        <w:t xml:space="preserve"> </w:t>
      </w:r>
      <w:r>
        <w:rPr>
          <w:rFonts w:eastAsia="宋体" w:hint="eastAsia"/>
          <w:sz w:val="20"/>
          <w:szCs w:val="20"/>
        </w:rPr>
        <w:t>in</w:t>
      </w:r>
      <w:r>
        <w:rPr>
          <w:rFonts w:eastAsia="宋体"/>
          <w:sz w:val="20"/>
          <w:szCs w:val="20"/>
        </w:rPr>
        <w:t xml:space="preserve"> </w:t>
      </w:r>
      <w:r>
        <w:rPr>
          <w:rFonts w:eastAsia="宋体" w:hint="eastAsia"/>
          <w:sz w:val="20"/>
          <w:szCs w:val="20"/>
        </w:rPr>
        <w:t>neighbor cell</w:t>
      </w:r>
      <w:r>
        <w:rPr>
          <w:rFonts w:eastAsia="宋体"/>
          <w:sz w:val="20"/>
          <w:szCs w:val="20"/>
        </w:rPr>
        <w:t xml:space="preserve"> </w:t>
      </w:r>
      <w:r>
        <w:rPr>
          <w:rFonts w:eastAsia="宋体" w:hint="eastAsia"/>
          <w:sz w:val="20"/>
          <w:szCs w:val="20"/>
        </w:rPr>
        <w:t>configuration</w:t>
      </w:r>
      <w:r>
        <w:rPr>
          <w:rFonts w:eastAsia="宋体"/>
          <w:sz w:val="20"/>
          <w:szCs w:val="20"/>
        </w:rPr>
        <w:t>.</w:t>
      </w:r>
    </w:p>
    <w:p w14:paraId="20509327" w14:textId="346082F7" w:rsidR="000F2AB2" w:rsidRDefault="000F2AB2" w:rsidP="000F2AB2">
      <w:pPr>
        <w:spacing w:beforeLines="20" w:before="48" w:after="120"/>
        <w:rPr>
          <w:rFonts w:eastAsia="宋体"/>
          <w:sz w:val="20"/>
          <w:szCs w:val="20"/>
        </w:rPr>
      </w:pPr>
      <w:r>
        <w:rPr>
          <w:rFonts w:eastAsia="宋体"/>
          <w:b/>
          <w:bCs/>
          <w:sz w:val="20"/>
          <w:szCs w:val="20"/>
        </w:rPr>
        <w:t xml:space="preserve">Proposal </w:t>
      </w:r>
      <w:r>
        <w:rPr>
          <w:rFonts w:eastAsia="宋体" w:hint="eastAsia"/>
          <w:b/>
          <w:bCs/>
          <w:sz w:val="20"/>
          <w:szCs w:val="20"/>
        </w:rPr>
        <w:t>4</w:t>
      </w:r>
      <w:r>
        <w:rPr>
          <w:rFonts w:eastAsia="宋体"/>
          <w:b/>
          <w:bCs/>
          <w:sz w:val="20"/>
          <w:szCs w:val="20"/>
        </w:rPr>
        <w:t xml:space="preserve">: </w:t>
      </w:r>
      <w:r>
        <w:rPr>
          <w:rFonts w:eastAsia="宋体" w:hint="eastAsia"/>
          <w:b/>
          <w:bCs/>
          <w:sz w:val="20"/>
          <w:szCs w:val="20"/>
        </w:rPr>
        <w:t xml:space="preserve">RAN2 </w:t>
      </w:r>
      <w:r>
        <w:rPr>
          <w:rFonts w:eastAsia="宋体"/>
          <w:b/>
          <w:bCs/>
          <w:sz w:val="20"/>
          <w:szCs w:val="20"/>
        </w:rPr>
        <w:t xml:space="preserve">needs to </w:t>
      </w:r>
      <w:r>
        <w:rPr>
          <w:rFonts w:eastAsia="宋体" w:hint="eastAsia"/>
          <w:b/>
          <w:bCs/>
          <w:sz w:val="20"/>
          <w:szCs w:val="20"/>
        </w:rPr>
        <w:t xml:space="preserve">discuss the TSC UE </w:t>
      </w:r>
      <w:r>
        <w:rPr>
          <w:rFonts w:eastAsia="宋体"/>
          <w:b/>
          <w:bCs/>
          <w:sz w:val="20"/>
          <w:szCs w:val="20"/>
        </w:rPr>
        <w:t>behavior</w:t>
      </w:r>
      <w:r>
        <w:rPr>
          <w:rFonts w:eastAsia="宋体" w:hint="eastAsia"/>
          <w:b/>
          <w:bCs/>
          <w:sz w:val="20"/>
          <w:szCs w:val="20"/>
        </w:rPr>
        <w:t xml:space="preserve"> if the camped cell </w:t>
      </w:r>
      <w:r>
        <w:rPr>
          <w:rFonts w:eastAsia="宋体"/>
          <w:b/>
          <w:bCs/>
          <w:sz w:val="20"/>
          <w:szCs w:val="20"/>
        </w:rPr>
        <w:t>cannot</w:t>
      </w:r>
      <w:r>
        <w:rPr>
          <w:rFonts w:eastAsia="宋体" w:hint="eastAsia"/>
          <w:b/>
          <w:bCs/>
          <w:sz w:val="20"/>
          <w:szCs w:val="20"/>
        </w:rPr>
        <w:t xml:space="preserve"> deliver </w:t>
      </w:r>
      <w:r>
        <w:rPr>
          <w:rFonts w:eastAsia="宋体"/>
          <w:b/>
          <w:bCs/>
          <w:sz w:val="20"/>
          <w:szCs w:val="20"/>
        </w:rPr>
        <w:t xml:space="preserve">the desired higher </w:t>
      </w:r>
      <w:r>
        <w:rPr>
          <w:b/>
          <w:bCs/>
          <w:sz w:val="20"/>
          <w:szCs w:val="20"/>
        </w:rPr>
        <w:t>accurate reference timing</w:t>
      </w:r>
      <w:r>
        <w:rPr>
          <w:rFonts w:hint="eastAsia"/>
          <w:b/>
          <w:bCs/>
          <w:sz w:val="20"/>
          <w:szCs w:val="20"/>
        </w:rPr>
        <w:t>.</w:t>
      </w:r>
    </w:p>
    <w:p w14:paraId="6DB97438" w14:textId="72ACDBB8" w:rsidR="00B74A72" w:rsidRDefault="00B74A72" w:rsidP="00C6696E">
      <w:pPr>
        <w:spacing w:beforeLines="20" w:before="48" w:after="120"/>
        <w:rPr>
          <w:rFonts w:eastAsia="宋体"/>
          <w:b/>
          <w:bCs/>
          <w:sz w:val="20"/>
          <w:szCs w:val="20"/>
        </w:rPr>
      </w:pPr>
    </w:p>
    <w:p w14:paraId="7EAC71FD" w14:textId="77777777" w:rsidR="00B74A72" w:rsidRDefault="00881669">
      <w:pPr>
        <w:pStyle w:val="1"/>
        <w:spacing w:before="120" w:after="120" w:line="360" w:lineRule="auto"/>
        <w:ind w:left="431" w:hanging="431"/>
        <w:rPr>
          <w:lang w:val="en-US"/>
        </w:rPr>
      </w:pPr>
      <w:bookmarkStart w:id="6" w:name="OLE_LINK1"/>
      <w:bookmarkEnd w:id="3"/>
      <w:bookmarkEnd w:id="4"/>
      <w:r>
        <w:rPr>
          <w:lang w:val="en-US"/>
        </w:rPr>
        <w:t>Conclusions</w:t>
      </w:r>
    </w:p>
    <w:p w14:paraId="389DFB9C" w14:textId="77777777" w:rsidR="00B74A72" w:rsidRDefault="00881669">
      <w:pPr>
        <w:spacing w:after="100"/>
        <w:jc w:val="both"/>
        <w:rPr>
          <w:sz w:val="20"/>
          <w:szCs w:val="20"/>
        </w:rPr>
      </w:pPr>
      <w:r>
        <w:rPr>
          <w:sz w:val="20"/>
          <w:szCs w:val="20"/>
        </w:rPr>
        <w:t>In this contribution, we make the following</w:t>
      </w:r>
      <w:r>
        <w:rPr>
          <w:rFonts w:eastAsia="宋体" w:hint="eastAsia"/>
          <w:sz w:val="20"/>
          <w:szCs w:val="20"/>
        </w:rPr>
        <w:t xml:space="preserve"> observation and </w:t>
      </w:r>
      <w:r>
        <w:rPr>
          <w:sz w:val="20"/>
          <w:szCs w:val="20"/>
        </w:rPr>
        <w:t>proposal</w:t>
      </w:r>
      <w:r>
        <w:rPr>
          <w:rFonts w:hint="eastAsia"/>
          <w:sz w:val="20"/>
          <w:szCs w:val="20"/>
        </w:rPr>
        <w:t>s</w:t>
      </w:r>
      <w:r>
        <w:rPr>
          <w:sz w:val="20"/>
          <w:szCs w:val="20"/>
        </w:rPr>
        <w:t>:</w:t>
      </w:r>
    </w:p>
    <w:p w14:paraId="1E85319C" w14:textId="77777777" w:rsidR="007A50C3" w:rsidRDefault="007A50C3" w:rsidP="007A50C3">
      <w:pPr>
        <w:spacing w:beforeLines="20" w:before="48" w:after="120"/>
        <w:rPr>
          <w:rFonts w:eastAsia="Malgun Gothic"/>
          <w:b/>
          <w:bCs/>
          <w:sz w:val="20"/>
          <w:szCs w:val="20"/>
          <w:lang w:eastAsia="ko-KR"/>
        </w:rPr>
      </w:pPr>
      <w:r>
        <w:rPr>
          <w:rFonts w:eastAsia="宋体" w:hint="eastAsia"/>
          <w:b/>
          <w:bCs/>
          <w:sz w:val="20"/>
          <w:szCs w:val="20"/>
        </w:rPr>
        <w:t>Observation 1</w:t>
      </w:r>
      <w:r>
        <w:rPr>
          <w:b/>
          <w:bCs/>
          <w:sz w:val="20"/>
          <w:szCs w:val="20"/>
        </w:rPr>
        <w:t xml:space="preserve">: </w:t>
      </w:r>
      <w:r>
        <w:rPr>
          <w:rFonts w:eastAsia="宋体" w:hint="eastAsia"/>
          <w:b/>
          <w:bCs/>
          <w:sz w:val="20"/>
          <w:szCs w:val="20"/>
        </w:rPr>
        <w:t xml:space="preserve">The </w:t>
      </w:r>
      <w:r>
        <w:rPr>
          <w:rFonts w:eastAsia="宋体" w:hint="eastAsia"/>
          <w:b/>
          <w:bCs/>
          <w:i/>
          <w:iCs/>
          <w:sz w:val="20"/>
          <w:szCs w:val="20"/>
        </w:rPr>
        <w:t xml:space="preserve">time </w:t>
      </w:r>
      <w:r>
        <w:rPr>
          <w:rFonts w:eastAsia="宋体" w:hint="eastAsia"/>
          <w:b/>
          <w:bCs/>
          <w:sz w:val="20"/>
          <w:szCs w:val="20"/>
        </w:rPr>
        <w:t>information in broadcast should be generated and scheduled in DU for CU-DU case</w:t>
      </w:r>
      <w:r>
        <w:rPr>
          <w:rFonts w:eastAsia="Malgun Gothic"/>
          <w:b/>
          <w:bCs/>
          <w:sz w:val="20"/>
          <w:szCs w:val="20"/>
          <w:lang w:eastAsia="ko-KR"/>
        </w:rPr>
        <w:t>.</w:t>
      </w:r>
    </w:p>
    <w:p w14:paraId="4CD55E31" w14:textId="77777777" w:rsidR="00B23F78" w:rsidRDefault="00B23F78" w:rsidP="00B23F78">
      <w:pPr>
        <w:spacing w:beforeLines="20" w:before="48" w:after="120"/>
        <w:rPr>
          <w:rFonts w:eastAsia="Malgun Gothic"/>
          <w:b/>
          <w:bCs/>
          <w:sz w:val="20"/>
          <w:szCs w:val="20"/>
          <w:lang w:eastAsia="ko-KR"/>
        </w:rPr>
      </w:pPr>
      <w:r>
        <w:rPr>
          <w:rFonts w:eastAsia="宋体" w:hint="eastAsia"/>
          <w:b/>
          <w:bCs/>
          <w:sz w:val="20"/>
          <w:szCs w:val="20"/>
        </w:rPr>
        <w:t xml:space="preserve">Observation </w:t>
      </w:r>
      <w:r>
        <w:rPr>
          <w:rFonts w:eastAsia="宋体"/>
          <w:b/>
          <w:bCs/>
          <w:sz w:val="20"/>
          <w:szCs w:val="20"/>
        </w:rPr>
        <w:t>2</w:t>
      </w:r>
      <w:r>
        <w:rPr>
          <w:b/>
          <w:bCs/>
          <w:sz w:val="20"/>
          <w:szCs w:val="20"/>
        </w:rPr>
        <w:t xml:space="preserve">: </w:t>
      </w:r>
      <w:r>
        <w:rPr>
          <w:rFonts w:eastAsia="宋体"/>
          <w:b/>
          <w:bCs/>
          <w:sz w:val="20"/>
          <w:szCs w:val="20"/>
        </w:rPr>
        <w:t>SI</w:t>
      </w:r>
      <w:bookmarkStart w:id="7" w:name="_GoBack"/>
      <w:bookmarkEnd w:id="7"/>
      <w:r>
        <w:rPr>
          <w:rFonts w:eastAsia="宋体"/>
          <w:b/>
          <w:bCs/>
          <w:sz w:val="20"/>
          <w:szCs w:val="20"/>
        </w:rPr>
        <w:t xml:space="preserve">B9 is generated in CU, which is not suitable for </w:t>
      </w:r>
      <w:r>
        <w:rPr>
          <w:b/>
          <w:bCs/>
          <w:sz w:val="20"/>
          <w:szCs w:val="20"/>
        </w:rPr>
        <w:t xml:space="preserve">accurate reference timing </w:t>
      </w:r>
      <w:r w:rsidRPr="00B25B74">
        <w:rPr>
          <w:b/>
          <w:bCs/>
          <w:sz w:val="20"/>
          <w:szCs w:val="20"/>
        </w:rPr>
        <w:t>delivery</w:t>
      </w:r>
      <w:r>
        <w:rPr>
          <w:rFonts w:eastAsia="Malgun Gothic"/>
          <w:b/>
          <w:bCs/>
          <w:sz w:val="20"/>
          <w:szCs w:val="20"/>
          <w:lang w:eastAsia="ko-KR"/>
        </w:rPr>
        <w:t>.</w:t>
      </w:r>
    </w:p>
    <w:p w14:paraId="248C6A59" w14:textId="77777777" w:rsidR="007A50C3" w:rsidRDefault="007A50C3" w:rsidP="007A50C3">
      <w:pPr>
        <w:spacing w:beforeLines="20" w:before="48" w:after="120"/>
        <w:rPr>
          <w:rFonts w:eastAsia="宋体"/>
          <w:position w:val="-10"/>
          <w:sz w:val="20"/>
          <w:szCs w:val="20"/>
        </w:rPr>
      </w:pPr>
      <w:r>
        <w:rPr>
          <w:rFonts w:eastAsia="宋体"/>
          <w:b/>
          <w:bCs/>
          <w:position w:val="-10"/>
          <w:sz w:val="20"/>
          <w:szCs w:val="20"/>
        </w:rPr>
        <w:t xml:space="preserve">Observation 3: Even propagation delay compensation is applied for small service areas with dense small cell deployments, </w:t>
      </w:r>
      <w:r w:rsidRPr="000B073D">
        <w:rPr>
          <w:rFonts w:eastAsia="宋体"/>
          <w:b/>
          <w:bCs/>
          <w:position w:val="-10"/>
          <w:sz w:val="20"/>
          <w:szCs w:val="20"/>
        </w:rPr>
        <w:t>the</w:t>
      </w:r>
      <w:r w:rsidRPr="000B073D">
        <w:rPr>
          <w:rFonts w:eastAsia="宋体"/>
          <w:b/>
          <w:position w:val="-10"/>
          <w:sz w:val="20"/>
          <w:szCs w:val="20"/>
        </w:rPr>
        <w:t xml:space="preserve"> requirement of </w:t>
      </w:r>
      <w:r>
        <w:rPr>
          <w:rFonts w:eastAsia="宋体"/>
          <w:b/>
          <w:bCs/>
          <w:position w:val="-10"/>
          <w:sz w:val="20"/>
          <w:szCs w:val="20"/>
        </w:rPr>
        <w:t>1us accurate reference timing delivery still can be satisfied.</w:t>
      </w:r>
    </w:p>
    <w:p w14:paraId="09336CCB" w14:textId="77777777" w:rsidR="007A50C3" w:rsidRDefault="007A50C3" w:rsidP="007A50C3">
      <w:pPr>
        <w:spacing w:beforeLines="20" w:before="48" w:after="120"/>
        <w:rPr>
          <w:rFonts w:eastAsia="宋体"/>
          <w:position w:val="-10"/>
          <w:sz w:val="20"/>
          <w:szCs w:val="20"/>
        </w:rPr>
      </w:pPr>
      <w:r>
        <w:rPr>
          <w:rFonts w:eastAsia="宋体"/>
          <w:b/>
          <w:bCs/>
          <w:position w:val="-10"/>
          <w:sz w:val="20"/>
          <w:szCs w:val="20"/>
        </w:rPr>
        <w:t xml:space="preserve">Observation 4: It is difficult to accurately control when to perform or stop propagation delay compensation. </w:t>
      </w:r>
    </w:p>
    <w:p w14:paraId="084AE5CC" w14:textId="77777777" w:rsidR="007A50C3" w:rsidRDefault="007A50C3" w:rsidP="007A50C3">
      <w:pPr>
        <w:spacing w:beforeLines="20" w:before="48" w:after="120"/>
        <w:rPr>
          <w:rFonts w:eastAsia="宋体"/>
          <w:b/>
          <w:bCs/>
          <w:sz w:val="20"/>
          <w:szCs w:val="20"/>
        </w:rPr>
      </w:pPr>
      <w:r>
        <w:rPr>
          <w:rFonts w:eastAsia="宋体"/>
          <w:b/>
          <w:bCs/>
          <w:sz w:val="20"/>
          <w:szCs w:val="20"/>
        </w:rPr>
        <w:t>Observation 5:</w:t>
      </w:r>
      <w:r>
        <w:rPr>
          <w:rFonts w:eastAsia="宋体" w:hint="eastAsia"/>
          <w:sz w:val="20"/>
          <w:szCs w:val="20"/>
        </w:rPr>
        <w:t xml:space="preserve"> </w:t>
      </w:r>
      <w:r>
        <w:rPr>
          <w:rFonts w:eastAsia="宋体" w:hint="eastAsia"/>
          <w:b/>
          <w:bCs/>
          <w:sz w:val="20"/>
          <w:szCs w:val="20"/>
        </w:rPr>
        <w:t>If a TSC UE camps on a cell without higher</w:t>
      </w:r>
      <w:r>
        <w:rPr>
          <w:rFonts w:eastAsia="宋体"/>
          <w:b/>
          <w:bCs/>
          <w:sz w:val="20"/>
          <w:szCs w:val="20"/>
        </w:rPr>
        <w:t xml:space="preserve"> </w:t>
      </w:r>
      <w:r>
        <w:rPr>
          <w:b/>
          <w:bCs/>
          <w:sz w:val="20"/>
          <w:szCs w:val="20"/>
        </w:rPr>
        <w:t>accurate reference timing</w:t>
      </w:r>
      <w:r>
        <w:rPr>
          <w:rFonts w:eastAsia="宋体" w:hint="eastAsia"/>
          <w:b/>
          <w:bCs/>
          <w:sz w:val="20"/>
          <w:szCs w:val="20"/>
        </w:rPr>
        <w:t xml:space="preserve"> delivery, it cannot perform TSC service normally, which will impact the TSC service availability.</w:t>
      </w:r>
    </w:p>
    <w:p w14:paraId="1302A89D" w14:textId="77777777" w:rsidR="007A50C3" w:rsidRDefault="007A50C3" w:rsidP="007A50C3">
      <w:pPr>
        <w:spacing w:beforeLines="20" w:before="48" w:after="120"/>
        <w:rPr>
          <w:rFonts w:eastAsia="Malgun Gothic"/>
          <w:b/>
          <w:bCs/>
          <w:sz w:val="20"/>
          <w:szCs w:val="20"/>
        </w:rPr>
      </w:pPr>
    </w:p>
    <w:p w14:paraId="5B2AC634" w14:textId="77777777" w:rsidR="007A50C3" w:rsidRDefault="007A50C3" w:rsidP="007A50C3">
      <w:pPr>
        <w:spacing w:beforeLines="20" w:before="48" w:after="120"/>
        <w:rPr>
          <w:rFonts w:eastAsia="Malgun Gothic"/>
          <w:b/>
          <w:bCs/>
          <w:sz w:val="20"/>
          <w:szCs w:val="20"/>
        </w:rPr>
      </w:pPr>
      <w:r>
        <w:rPr>
          <w:rFonts w:eastAsia="Malgun Gothic"/>
          <w:b/>
          <w:bCs/>
          <w:sz w:val="20"/>
          <w:szCs w:val="20"/>
        </w:rPr>
        <w:t xml:space="preserve">Proposal 1: It’s suggested to introduce a new SIB (e.g. SIB9Bis) </w:t>
      </w:r>
      <w:r w:rsidRPr="00C6696E">
        <w:rPr>
          <w:rFonts w:eastAsia="宋体"/>
          <w:b/>
          <w:sz w:val="20"/>
          <w:szCs w:val="20"/>
        </w:rPr>
        <w:t>generated in DU</w:t>
      </w:r>
      <w:r>
        <w:rPr>
          <w:rFonts w:eastAsia="Malgun Gothic"/>
          <w:b/>
          <w:bCs/>
          <w:sz w:val="20"/>
          <w:szCs w:val="20"/>
        </w:rPr>
        <w:t xml:space="preserve"> for </w:t>
      </w:r>
      <w:r>
        <w:rPr>
          <w:b/>
          <w:bCs/>
          <w:sz w:val="20"/>
          <w:szCs w:val="20"/>
        </w:rPr>
        <w:t>accurate reference timing</w:t>
      </w:r>
      <w:r w:rsidRPr="001A3E56">
        <w:rPr>
          <w:b/>
          <w:bCs/>
          <w:sz w:val="20"/>
          <w:szCs w:val="20"/>
        </w:rPr>
        <w:t xml:space="preserve"> </w:t>
      </w:r>
      <w:r w:rsidRPr="001A3E56">
        <w:rPr>
          <w:b/>
          <w:sz w:val="20"/>
          <w:szCs w:val="20"/>
        </w:rPr>
        <w:t>delivery</w:t>
      </w:r>
      <w:r>
        <w:rPr>
          <w:rFonts w:eastAsia="宋体"/>
          <w:b/>
          <w:bCs/>
          <w:sz w:val="20"/>
          <w:szCs w:val="20"/>
        </w:rPr>
        <w:t>.</w:t>
      </w:r>
      <w:r>
        <w:rPr>
          <w:b/>
          <w:bCs/>
          <w:sz w:val="20"/>
          <w:szCs w:val="20"/>
        </w:rPr>
        <w:t xml:space="preserve"> </w:t>
      </w:r>
    </w:p>
    <w:p w14:paraId="08A66ACE" w14:textId="1EF3190A" w:rsidR="00B25B74" w:rsidRDefault="00B25B74" w:rsidP="007A50C3">
      <w:pPr>
        <w:spacing w:beforeLines="20" w:before="48" w:after="120"/>
        <w:rPr>
          <w:rFonts w:eastAsia="宋体"/>
          <w:b/>
          <w:bCs/>
          <w:sz w:val="20"/>
          <w:szCs w:val="20"/>
        </w:rPr>
      </w:pPr>
      <w:r w:rsidRPr="00B25B74">
        <w:rPr>
          <w:rFonts w:eastAsia="宋体"/>
          <w:b/>
          <w:bCs/>
          <w:sz w:val="20"/>
          <w:szCs w:val="20"/>
        </w:rPr>
        <w:t>Proposal 2: It's suggested that UE performs propagation delay compensation with</w:t>
      </w:r>
      <w:r>
        <w:rPr>
          <w:position w:val="-10"/>
          <w:sz w:val="20"/>
          <w:szCs w:val="20"/>
        </w:rPr>
        <w:object w:dxaOrig="439" w:dyaOrig="281" w14:anchorId="071636CB">
          <v:shape id="_x0000_i1035" type="#_x0000_t75" style="width:21.95pt;height:13.85pt" o:ole="">
            <v:imagedata r:id="rId9" o:title=""/>
          </v:shape>
          <o:OLEObject Type="Embed" ProgID="Equation.3" ShapeID="_x0000_i1035" DrawAspect="Content" ObjectID="_1618357927" r:id="rId26"/>
        </w:object>
      </w:r>
      <w:r>
        <w:rPr>
          <w:rFonts w:eastAsia="宋体"/>
          <w:sz w:val="20"/>
          <w:szCs w:val="20"/>
        </w:rPr>
        <w:t>/2</w:t>
      </w:r>
      <w:r>
        <w:rPr>
          <w:rFonts w:eastAsia="宋体"/>
          <w:sz w:val="20"/>
          <w:szCs w:val="20"/>
        </w:rPr>
        <w:t xml:space="preserve"> </w:t>
      </w:r>
      <w:r w:rsidRPr="00B25B74">
        <w:rPr>
          <w:rFonts w:eastAsia="宋体"/>
          <w:b/>
          <w:bCs/>
          <w:sz w:val="20"/>
          <w:szCs w:val="20"/>
        </w:rPr>
        <w:t>regardless of the distance between UE and gNB.</w:t>
      </w:r>
    </w:p>
    <w:p w14:paraId="0FB021E4" w14:textId="77777777" w:rsidR="007A50C3" w:rsidRDefault="007A50C3" w:rsidP="007A50C3">
      <w:pPr>
        <w:spacing w:beforeLines="20" w:before="48" w:after="120"/>
        <w:rPr>
          <w:sz w:val="20"/>
          <w:szCs w:val="20"/>
        </w:rPr>
      </w:pPr>
      <w:r>
        <w:rPr>
          <w:rFonts w:eastAsia="宋体"/>
          <w:b/>
          <w:bCs/>
          <w:sz w:val="20"/>
          <w:szCs w:val="20"/>
        </w:rPr>
        <w:t xml:space="preserve">Proposal 3: </w:t>
      </w:r>
      <w:r>
        <w:rPr>
          <w:b/>
          <w:bCs/>
          <w:sz w:val="20"/>
          <w:szCs w:val="20"/>
        </w:rPr>
        <w:t>UE can apply the propagation delay compensation</w:t>
      </w:r>
      <w:r>
        <w:rPr>
          <w:rFonts w:hint="eastAsia"/>
          <w:b/>
          <w:bCs/>
          <w:sz w:val="20"/>
          <w:szCs w:val="20"/>
        </w:rPr>
        <w:t xml:space="preserve"> </w:t>
      </w:r>
      <w:r>
        <w:rPr>
          <w:b/>
          <w:bCs/>
          <w:sz w:val="20"/>
          <w:szCs w:val="20"/>
        </w:rPr>
        <w:t>till valid TA is available</w:t>
      </w:r>
      <w:r>
        <w:rPr>
          <w:rFonts w:hint="eastAsia"/>
          <w:sz w:val="20"/>
          <w:szCs w:val="20"/>
        </w:rPr>
        <w:t>.</w:t>
      </w:r>
      <w:r>
        <w:rPr>
          <w:sz w:val="20"/>
          <w:szCs w:val="20"/>
        </w:rPr>
        <w:t xml:space="preserve"> </w:t>
      </w:r>
      <w:r>
        <w:rPr>
          <w:rFonts w:eastAsia="宋体" w:hint="eastAsia"/>
          <w:b/>
          <w:bCs/>
          <w:sz w:val="20"/>
          <w:szCs w:val="20"/>
        </w:rPr>
        <w:t>Whe</w:t>
      </w:r>
      <w:r>
        <w:rPr>
          <w:rFonts w:eastAsia="宋体"/>
          <w:b/>
          <w:bCs/>
          <w:sz w:val="20"/>
          <w:szCs w:val="20"/>
        </w:rPr>
        <w:t xml:space="preserve">ther </w:t>
      </w:r>
      <w:r>
        <w:rPr>
          <w:rFonts w:hint="eastAsia"/>
          <w:b/>
          <w:bCs/>
          <w:sz w:val="20"/>
          <w:szCs w:val="20"/>
        </w:rPr>
        <w:t xml:space="preserve">the </w:t>
      </w:r>
      <w:r>
        <w:rPr>
          <w:b/>
          <w:bCs/>
          <w:sz w:val="20"/>
          <w:szCs w:val="20"/>
        </w:rPr>
        <w:t xml:space="preserve">TA is </w:t>
      </w:r>
      <w:r>
        <w:rPr>
          <w:rFonts w:hint="eastAsia"/>
          <w:b/>
          <w:bCs/>
          <w:sz w:val="20"/>
          <w:szCs w:val="20"/>
        </w:rPr>
        <w:t>valid</w:t>
      </w:r>
      <w:r>
        <w:rPr>
          <w:rFonts w:eastAsia="宋体"/>
          <w:b/>
          <w:bCs/>
          <w:sz w:val="20"/>
          <w:szCs w:val="20"/>
        </w:rPr>
        <w:t xml:space="preserve"> is left to UE implementation.</w:t>
      </w:r>
    </w:p>
    <w:p w14:paraId="05F0AF3A" w14:textId="77777777" w:rsidR="007A50C3" w:rsidRDefault="007A50C3" w:rsidP="007A50C3">
      <w:pPr>
        <w:spacing w:beforeLines="20" w:before="48" w:after="120"/>
        <w:rPr>
          <w:rFonts w:eastAsia="宋体"/>
          <w:sz w:val="20"/>
          <w:szCs w:val="20"/>
        </w:rPr>
      </w:pPr>
      <w:r>
        <w:rPr>
          <w:rFonts w:eastAsia="宋体"/>
          <w:b/>
          <w:bCs/>
          <w:sz w:val="20"/>
          <w:szCs w:val="20"/>
        </w:rPr>
        <w:t xml:space="preserve">Proposal </w:t>
      </w:r>
      <w:r>
        <w:rPr>
          <w:rFonts w:eastAsia="宋体" w:hint="eastAsia"/>
          <w:b/>
          <w:bCs/>
          <w:sz w:val="20"/>
          <w:szCs w:val="20"/>
        </w:rPr>
        <w:t>4</w:t>
      </w:r>
      <w:r>
        <w:rPr>
          <w:rFonts w:eastAsia="宋体"/>
          <w:b/>
          <w:bCs/>
          <w:sz w:val="20"/>
          <w:szCs w:val="20"/>
        </w:rPr>
        <w:t xml:space="preserve">: </w:t>
      </w:r>
      <w:r>
        <w:rPr>
          <w:rFonts w:eastAsia="宋体" w:hint="eastAsia"/>
          <w:b/>
          <w:bCs/>
          <w:sz w:val="20"/>
          <w:szCs w:val="20"/>
        </w:rPr>
        <w:t xml:space="preserve">RAN2 </w:t>
      </w:r>
      <w:r>
        <w:rPr>
          <w:rFonts w:eastAsia="宋体"/>
          <w:b/>
          <w:bCs/>
          <w:sz w:val="20"/>
          <w:szCs w:val="20"/>
        </w:rPr>
        <w:t xml:space="preserve">needs to </w:t>
      </w:r>
      <w:r>
        <w:rPr>
          <w:rFonts w:eastAsia="宋体" w:hint="eastAsia"/>
          <w:b/>
          <w:bCs/>
          <w:sz w:val="20"/>
          <w:szCs w:val="20"/>
        </w:rPr>
        <w:t xml:space="preserve">discuss the TSC UE </w:t>
      </w:r>
      <w:r>
        <w:rPr>
          <w:rFonts w:eastAsia="宋体"/>
          <w:b/>
          <w:bCs/>
          <w:sz w:val="20"/>
          <w:szCs w:val="20"/>
        </w:rPr>
        <w:t>behavior</w:t>
      </w:r>
      <w:r>
        <w:rPr>
          <w:rFonts w:eastAsia="宋体" w:hint="eastAsia"/>
          <w:b/>
          <w:bCs/>
          <w:sz w:val="20"/>
          <w:szCs w:val="20"/>
        </w:rPr>
        <w:t xml:space="preserve"> if the camped cell </w:t>
      </w:r>
      <w:r>
        <w:rPr>
          <w:rFonts w:eastAsia="宋体"/>
          <w:b/>
          <w:bCs/>
          <w:sz w:val="20"/>
          <w:szCs w:val="20"/>
        </w:rPr>
        <w:t>cannot</w:t>
      </w:r>
      <w:r>
        <w:rPr>
          <w:rFonts w:eastAsia="宋体" w:hint="eastAsia"/>
          <w:b/>
          <w:bCs/>
          <w:sz w:val="20"/>
          <w:szCs w:val="20"/>
        </w:rPr>
        <w:t xml:space="preserve"> deliver </w:t>
      </w:r>
      <w:r>
        <w:rPr>
          <w:rFonts w:eastAsia="宋体"/>
          <w:b/>
          <w:bCs/>
          <w:sz w:val="20"/>
          <w:szCs w:val="20"/>
        </w:rPr>
        <w:t xml:space="preserve">the desired higher </w:t>
      </w:r>
      <w:r>
        <w:rPr>
          <w:b/>
          <w:bCs/>
          <w:sz w:val="20"/>
          <w:szCs w:val="20"/>
        </w:rPr>
        <w:t>accurate reference timing</w:t>
      </w:r>
      <w:r>
        <w:rPr>
          <w:rFonts w:hint="eastAsia"/>
          <w:b/>
          <w:bCs/>
          <w:sz w:val="20"/>
          <w:szCs w:val="20"/>
        </w:rPr>
        <w:t>.</w:t>
      </w:r>
    </w:p>
    <w:p w14:paraId="1FCA5D86" w14:textId="77777777" w:rsidR="00B74A72" w:rsidRPr="007A50C3" w:rsidRDefault="00B74A72">
      <w:pPr>
        <w:jc w:val="both"/>
        <w:rPr>
          <w:rFonts w:eastAsia="宋体"/>
          <w:b/>
          <w:bCs/>
          <w:sz w:val="20"/>
          <w:szCs w:val="20"/>
        </w:rPr>
      </w:pPr>
    </w:p>
    <w:p w14:paraId="3172ACF4" w14:textId="77777777" w:rsidR="00B74A72" w:rsidRDefault="00881669">
      <w:pPr>
        <w:pStyle w:val="1"/>
        <w:numPr>
          <w:ilvl w:val="0"/>
          <w:numId w:val="0"/>
        </w:numPr>
        <w:spacing w:before="120" w:after="120"/>
        <w:rPr>
          <w:lang w:val="en-US"/>
        </w:rPr>
      </w:pPr>
      <w:bookmarkStart w:id="8" w:name="OLE_LINK11"/>
      <w:bookmarkStart w:id="9" w:name="OLE_LINK10"/>
      <w:bookmarkEnd w:id="6"/>
      <w:r>
        <w:rPr>
          <w:lang w:val="en-US"/>
        </w:rPr>
        <w:t>References</w:t>
      </w:r>
    </w:p>
    <w:p w14:paraId="1761ED3A" w14:textId="77777777" w:rsidR="00B74A72" w:rsidRDefault="00881669">
      <w:pPr>
        <w:numPr>
          <w:ilvl w:val="0"/>
          <w:numId w:val="10"/>
        </w:numPr>
        <w:spacing w:beforeLines="10" w:before="24" w:afterLines="10" w:after="24" w:line="264" w:lineRule="auto"/>
        <w:rPr>
          <w:sz w:val="20"/>
          <w:szCs w:val="20"/>
        </w:rPr>
      </w:pPr>
      <w:bookmarkStart w:id="10" w:name="OLE_LINK2"/>
      <w:bookmarkEnd w:id="8"/>
      <w:bookmarkEnd w:id="9"/>
      <w:r>
        <w:rPr>
          <w:sz w:val="20"/>
          <w:szCs w:val="20"/>
        </w:rPr>
        <w:t xml:space="preserve">3GPP, RP-190728, </w:t>
      </w:r>
      <w:r>
        <w:rPr>
          <w:rFonts w:hint="eastAsia"/>
          <w:sz w:val="20"/>
          <w:szCs w:val="20"/>
        </w:rPr>
        <w:t>New WID: Support of NR Industrial Internet of Things (IoT)</w:t>
      </w:r>
      <w:r>
        <w:rPr>
          <w:sz w:val="20"/>
          <w:szCs w:val="20"/>
        </w:rPr>
        <w:t>, RAN#83, March 2019</w:t>
      </w:r>
      <w:bookmarkEnd w:id="10"/>
    </w:p>
    <w:p w14:paraId="22D682B8" w14:textId="77777777" w:rsidR="00B74A72" w:rsidRDefault="00881669">
      <w:pPr>
        <w:numPr>
          <w:ilvl w:val="0"/>
          <w:numId w:val="10"/>
        </w:numPr>
        <w:spacing w:beforeLines="10" w:before="24" w:afterLines="10" w:after="24" w:line="264" w:lineRule="auto"/>
        <w:rPr>
          <w:sz w:val="20"/>
          <w:szCs w:val="20"/>
        </w:rPr>
      </w:pPr>
      <w:r>
        <w:rPr>
          <w:rFonts w:eastAsia="宋体" w:hint="eastAsia"/>
          <w:sz w:val="20"/>
          <w:szCs w:val="20"/>
        </w:rPr>
        <w:t>3</w:t>
      </w:r>
      <w:r>
        <w:rPr>
          <w:rFonts w:hint="eastAsia"/>
          <w:sz w:val="20"/>
          <w:szCs w:val="20"/>
        </w:rPr>
        <w:t>GPP, TS 38.825, 16.0.0(2016-03), Study on NR Industrial Internet of Things (IoT)</w:t>
      </w:r>
    </w:p>
    <w:p w14:paraId="197878BA" w14:textId="77777777" w:rsidR="00B74A72" w:rsidRDefault="00B74A72"/>
    <w:p w14:paraId="3DBC3D2E" w14:textId="77777777" w:rsidR="00B74A72" w:rsidRDefault="00B74A72">
      <w:pPr>
        <w:numPr>
          <w:ilvl w:val="255"/>
          <w:numId w:val="0"/>
        </w:numPr>
        <w:spacing w:beforeLines="10" w:before="24" w:afterLines="10" w:after="24" w:line="264" w:lineRule="auto"/>
        <w:rPr>
          <w:rFonts w:eastAsia="宋体"/>
          <w:sz w:val="20"/>
          <w:szCs w:val="20"/>
        </w:rPr>
      </w:pPr>
    </w:p>
    <w:sectPr w:rsidR="00B74A72">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D410F5" w14:textId="77777777" w:rsidR="00A442EB" w:rsidRDefault="00A442EB" w:rsidP="00D413C2">
      <w:pPr>
        <w:spacing w:after="0" w:line="240" w:lineRule="auto"/>
      </w:pPr>
      <w:r>
        <w:separator/>
      </w:r>
    </w:p>
  </w:endnote>
  <w:endnote w:type="continuationSeparator" w:id="0">
    <w:p w14:paraId="06F04F5E" w14:textId="77777777" w:rsidR="00A442EB" w:rsidRDefault="00A442EB" w:rsidP="00D413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微软雅黑"/>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232AE0" w14:textId="77777777" w:rsidR="00A442EB" w:rsidRDefault="00A442EB" w:rsidP="00D413C2">
      <w:pPr>
        <w:spacing w:after="0" w:line="240" w:lineRule="auto"/>
      </w:pPr>
      <w:r>
        <w:separator/>
      </w:r>
    </w:p>
  </w:footnote>
  <w:footnote w:type="continuationSeparator" w:id="0">
    <w:p w14:paraId="71B942E3" w14:textId="77777777" w:rsidR="00A442EB" w:rsidRDefault="00A442EB" w:rsidP="00D413C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45546CD"/>
    <w:multiLevelType w:val="singleLevel"/>
    <w:tmpl w:val="D45546CD"/>
    <w:lvl w:ilvl="0">
      <w:start w:val="1"/>
      <w:numFmt w:val="bullet"/>
      <w:lvlText w:val=""/>
      <w:lvlJc w:val="left"/>
      <w:pPr>
        <w:ind w:left="420" w:hanging="420"/>
      </w:pPr>
      <w:rPr>
        <w:rFonts w:ascii="Wingdings" w:hAnsi="Wingdings" w:hint="default"/>
      </w:rPr>
    </w:lvl>
  </w:abstractNum>
  <w:abstractNum w:abstractNumId="1" w15:restartNumberingAfterBreak="0">
    <w:nsid w:val="D7C1F122"/>
    <w:multiLevelType w:val="singleLevel"/>
    <w:tmpl w:val="D7C1F122"/>
    <w:lvl w:ilvl="0">
      <w:start w:val="3"/>
      <w:numFmt w:val="decimal"/>
      <w:suff w:val="nothing"/>
      <w:lvlText w:val="%1．"/>
      <w:lvlJc w:val="left"/>
      <w:pPr>
        <w:ind w:left="0" w:firstLine="403"/>
      </w:pPr>
      <w:rPr>
        <w:rFonts w:hint="default"/>
      </w:rPr>
    </w:lvl>
  </w:abstractNum>
  <w:abstractNum w:abstractNumId="2" w15:restartNumberingAfterBreak="0">
    <w:nsid w:val="1D5F9262"/>
    <w:multiLevelType w:val="multilevel"/>
    <w:tmpl w:val="1D5F9262"/>
    <w:lvl w:ilvl="0">
      <w:start w:val="1"/>
      <w:numFmt w:val="bullet"/>
      <w:lvlText w:val=""/>
      <w:lvlJc w:val="left"/>
      <w:pPr>
        <w:tabs>
          <w:tab w:val="left" w:pos="567"/>
        </w:tabs>
        <w:ind w:left="567" w:hanging="567"/>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07612CD"/>
    <w:multiLevelType w:val="hybridMultilevel"/>
    <w:tmpl w:val="FFF8536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6F2E13A7"/>
    <w:multiLevelType w:val="hybridMultilevel"/>
    <w:tmpl w:val="4A5C1C40"/>
    <w:lvl w:ilvl="0" w:tplc="1714E04C">
      <w:start w:val="9"/>
      <w:numFmt w:val="bullet"/>
      <w:lvlText w:val="–"/>
      <w:lvlJc w:val="left"/>
      <w:pPr>
        <w:ind w:left="360" w:hanging="360"/>
      </w:pPr>
      <w:rPr>
        <w:rFonts w:ascii="Times New Roman" w:eastAsia="宋体"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6"/>
  </w:num>
  <w:num w:numId="3">
    <w:abstractNumId w:val="11"/>
  </w:num>
  <w:num w:numId="4">
    <w:abstractNumId w:val="8"/>
  </w:num>
  <w:num w:numId="5">
    <w:abstractNumId w:val="7"/>
  </w:num>
  <w:num w:numId="6">
    <w:abstractNumId w:val="1"/>
  </w:num>
  <w:num w:numId="7">
    <w:abstractNumId w:val="4"/>
  </w:num>
  <w:num w:numId="8">
    <w:abstractNumId w:val="2"/>
  </w:num>
  <w:num w:numId="9">
    <w:abstractNumId w:val="0"/>
  </w:num>
  <w:num w:numId="10">
    <w:abstractNumId w:val="5"/>
  </w:num>
  <w:num w:numId="11">
    <w:abstractNumId w:val="3"/>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19"/>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580"/>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73D"/>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B2"/>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1F8B"/>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3E56"/>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5D8C"/>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74"/>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04"/>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11E"/>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0915"/>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023"/>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CD5"/>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2EC"/>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93C"/>
    <w:rsid w:val="00441C09"/>
    <w:rsid w:val="0044204C"/>
    <w:rsid w:val="0044213C"/>
    <w:rsid w:val="00442327"/>
    <w:rsid w:val="004424A4"/>
    <w:rsid w:val="00442607"/>
    <w:rsid w:val="004426B9"/>
    <w:rsid w:val="00442B24"/>
    <w:rsid w:val="00442C36"/>
    <w:rsid w:val="00442D1C"/>
    <w:rsid w:val="00442E3D"/>
    <w:rsid w:val="00442EF7"/>
    <w:rsid w:val="00442F91"/>
    <w:rsid w:val="004430F0"/>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AEF"/>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1F7A"/>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0C3"/>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4E4E"/>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999"/>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0CC0"/>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669"/>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3C"/>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2B"/>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74"/>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B7FD8"/>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D81"/>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92B"/>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BE2"/>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2EB"/>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3F78"/>
    <w:rsid w:val="00B24BEA"/>
    <w:rsid w:val="00B24FDD"/>
    <w:rsid w:val="00B250C5"/>
    <w:rsid w:val="00B25196"/>
    <w:rsid w:val="00B25738"/>
    <w:rsid w:val="00B259AC"/>
    <w:rsid w:val="00B25ADC"/>
    <w:rsid w:val="00B25B74"/>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A72"/>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3CDB"/>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3E5"/>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68A"/>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96E"/>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746"/>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3C2"/>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4C6"/>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30"/>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3AA"/>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1F5"/>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25622C9"/>
    <w:rsid w:val="026B0F71"/>
    <w:rsid w:val="02747219"/>
    <w:rsid w:val="02F520A6"/>
    <w:rsid w:val="03287772"/>
    <w:rsid w:val="041212F7"/>
    <w:rsid w:val="04855B07"/>
    <w:rsid w:val="04A34073"/>
    <w:rsid w:val="04F713E5"/>
    <w:rsid w:val="04FA7030"/>
    <w:rsid w:val="057A3E53"/>
    <w:rsid w:val="05BA2554"/>
    <w:rsid w:val="06072B25"/>
    <w:rsid w:val="06D63647"/>
    <w:rsid w:val="080336F5"/>
    <w:rsid w:val="08054515"/>
    <w:rsid w:val="08564BE9"/>
    <w:rsid w:val="0886520C"/>
    <w:rsid w:val="0A0D1879"/>
    <w:rsid w:val="0A213D44"/>
    <w:rsid w:val="0AD35C59"/>
    <w:rsid w:val="0AEE4BFC"/>
    <w:rsid w:val="0B9C4929"/>
    <w:rsid w:val="0BB81A0E"/>
    <w:rsid w:val="0BCF0317"/>
    <w:rsid w:val="0C7E6C90"/>
    <w:rsid w:val="0D4238F0"/>
    <w:rsid w:val="0DDC54EB"/>
    <w:rsid w:val="0E63143D"/>
    <w:rsid w:val="0E785DB0"/>
    <w:rsid w:val="0EAE32CA"/>
    <w:rsid w:val="0EE73BE2"/>
    <w:rsid w:val="0F1824F2"/>
    <w:rsid w:val="0F440986"/>
    <w:rsid w:val="0F9E5674"/>
    <w:rsid w:val="0FBB788C"/>
    <w:rsid w:val="10041577"/>
    <w:rsid w:val="10411FB1"/>
    <w:rsid w:val="108016CB"/>
    <w:rsid w:val="113F0E8D"/>
    <w:rsid w:val="116E0009"/>
    <w:rsid w:val="117539F7"/>
    <w:rsid w:val="11F77EF7"/>
    <w:rsid w:val="121030AE"/>
    <w:rsid w:val="126D3D3C"/>
    <w:rsid w:val="13127DB7"/>
    <w:rsid w:val="13210BB1"/>
    <w:rsid w:val="135A4701"/>
    <w:rsid w:val="13B4794F"/>
    <w:rsid w:val="13BA0FD2"/>
    <w:rsid w:val="13DD2063"/>
    <w:rsid w:val="13DE787C"/>
    <w:rsid w:val="145D71CF"/>
    <w:rsid w:val="14A40A32"/>
    <w:rsid w:val="14D20AD2"/>
    <w:rsid w:val="1519698C"/>
    <w:rsid w:val="15683B2E"/>
    <w:rsid w:val="15B93276"/>
    <w:rsid w:val="15F9528F"/>
    <w:rsid w:val="163F6762"/>
    <w:rsid w:val="16752080"/>
    <w:rsid w:val="1678039A"/>
    <w:rsid w:val="168F70D3"/>
    <w:rsid w:val="171C020F"/>
    <w:rsid w:val="178202C9"/>
    <w:rsid w:val="186053E8"/>
    <w:rsid w:val="186F3D2C"/>
    <w:rsid w:val="19651414"/>
    <w:rsid w:val="197A46A5"/>
    <w:rsid w:val="19982F2E"/>
    <w:rsid w:val="1A6E0C1B"/>
    <w:rsid w:val="1ADF03A3"/>
    <w:rsid w:val="1B7A4C29"/>
    <w:rsid w:val="1B9273DB"/>
    <w:rsid w:val="1BAE647A"/>
    <w:rsid w:val="1BD30B75"/>
    <w:rsid w:val="1C8862C8"/>
    <w:rsid w:val="1CCE319B"/>
    <w:rsid w:val="1CDC2785"/>
    <w:rsid w:val="1D0B27CF"/>
    <w:rsid w:val="1DB34611"/>
    <w:rsid w:val="1DCF0BE9"/>
    <w:rsid w:val="1DFE3D2C"/>
    <w:rsid w:val="1E041BF6"/>
    <w:rsid w:val="1E24676D"/>
    <w:rsid w:val="1E287013"/>
    <w:rsid w:val="1E407A0C"/>
    <w:rsid w:val="1E4E700A"/>
    <w:rsid w:val="1EDB3096"/>
    <w:rsid w:val="1EEE370A"/>
    <w:rsid w:val="1F026DAE"/>
    <w:rsid w:val="1FA4592E"/>
    <w:rsid w:val="1FBD5DE8"/>
    <w:rsid w:val="200A5BE1"/>
    <w:rsid w:val="200E31D5"/>
    <w:rsid w:val="206C2785"/>
    <w:rsid w:val="20AD5F39"/>
    <w:rsid w:val="20E33181"/>
    <w:rsid w:val="2105487A"/>
    <w:rsid w:val="21495D73"/>
    <w:rsid w:val="22153B4E"/>
    <w:rsid w:val="222E4177"/>
    <w:rsid w:val="2254713C"/>
    <w:rsid w:val="22601645"/>
    <w:rsid w:val="229F6519"/>
    <w:rsid w:val="22E46845"/>
    <w:rsid w:val="23062764"/>
    <w:rsid w:val="23A42ABA"/>
    <w:rsid w:val="241534A7"/>
    <w:rsid w:val="256B1E5E"/>
    <w:rsid w:val="2679522B"/>
    <w:rsid w:val="26E60A3A"/>
    <w:rsid w:val="27510987"/>
    <w:rsid w:val="28151073"/>
    <w:rsid w:val="28E309D7"/>
    <w:rsid w:val="28F95B87"/>
    <w:rsid w:val="2900651C"/>
    <w:rsid w:val="29181460"/>
    <w:rsid w:val="294737D8"/>
    <w:rsid w:val="2956167A"/>
    <w:rsid w:val="299145D8"/>
    <w:rsid w:val="29A240AD"/>
    <w:rsid w:val="2A072E6D"/>
    <w:rsid w:val="2A95301D"/>
    <w:rsid w:val="2AD23946"/>
    <w:rsid w:val="2C092A93"/>
    <w:rsid w:val="2C296497"/>
    <w:rsid w:val="2DB53D1A"/>
    <w:rsid w:val="2DD81171"/>
    <w:rsid w:val="2E164CFF"/>
    <w:rsid w:val="2EA04261"/>
    <w:rsid w:val="2EB4754A"/>
    <w:rsid w:val="2EC55E8F"/>
    <w:rsid w:val="2F094088"/>
    <w:rsid w:val="2F623CD7"/>
    <w:rsid w:val="2F826616"/>
    <w:rsid w:val="2FF33761"/>
    <w:rsid w:val="30DC4BD6"/>
    <w:rsid w:val="30DF1FC9"/>
    <w:rsid w:val="3142020A"/>
    <w:rsid w:val="316E46A1"/>
    <w:rsid w:val="321861CB"/>
    <w:rsid w:val="32756594"/>
    <w:rsid w:val="334B4EEC"/>
    <w:rsid w:val="34157554"/>
    <w:rsid w:val="342A39F3"/>
    <w:rsid w:val="34703684"/>
    <w:rsid w:val="34CA51D8"/>
    <w:rsid w:val="35052E5A"/>
    <w:rsid w:val="350937A0"/>
    <w:rsid w:val="351B60C1"/>
    <w:rsid w:val="354D2AAA"/>
    <w:rsid w:val="35A85B74"/>
    <w:rsid w:val="35C504FE"/>
    <w:rsid w:val="360C27FC"/>
    <w:rsid w:val="363B4CE0"/>
    <w:rsid w:val="37731700"/>
    <w:rsid w:val="37FC0618"/>
    <w:rsid w:val="381814C7"/>
    <w:rsid w:val="385B2CCE"/>
    <w:rsid w:val="395C2867"/>
    <w:rsid w:val="39741792"/>
    <w:rsid w:val="39766AD7"/>
    <w:rsid w:val="39A32391"/>
    <w:rsid w:val="39BB4796"/>
    <w:rsid w:val="39CB7129"/>
    <w:rsid w:val="3A5B1E6D"/>
    <w:rsid w:val="3A8268AE"/>
    <w:rsid w:val="3A91443A"/>
    <w:rsid w:val="3B0C76AD"/>
    <w:rsid w:val="3B213E5A"/>
    <w:rsid w:val="3BD666CE"/>
    <w:rsid w:val="3C5E18FC"/>
    <w:rsid w:val="3CB44305"/>
    <w:rsid w:val="3D72668D"/>
    <w:rsid w:val="3DEB10E3"/>
    <w:rsid w:val="3E95018E"/>
    <w:rsid w:val="3F34194D"/>
    <w:rsid w:val="3F655CF0"/>
    <w:rsid w:val="3F7A74B4"/>
    <w:rsid w:val="3FCD091D"/>
    <w:rsid w:val="3FEB25EC"/>
    <w:rsid w:val="401550FC"/>
    <w:rsid w:val="402C4147"/>
    <w:rsid w:val="402E64F6"/>
    <w:rsid w:val="40B536F2"/>
    <w:rsid w:val="40F80976"/>
    <w:rsid w:val="414204A1"/>
    <w:rsid w:val="41BB697E"/>
    <w:rsid w:val="42DB482E"/>
    <w:rsid w:val="430A6648"/>
    <w:rsid w:val="437C54AC"/>
    <w:rsid w:val="43871508"/>
    <w:rsid w:val="43A17D02"/>
    <w:rsid w:val="43AF3D36"/>
    <w:rsid w:val="43D97CE3"/>
    <w:rsid w:val="45064D15"/>
    <w:rsid w:val="45DF4F99"/>
    <w:rsid w:val="45ED130D"/>
    <w:rsid w:val="46686AEB"/>
    <w:rsid w:val="46961019"/>
    <w:rsid w:val="46B0375A"/>
    <w:rsid w:val="46F42A33"/>
    <w:rsid w:val="471F6DB3"/>
    <w:rsid w:val="47210006"/>
    <w:rsid w:val="47385B1F"/>
    <w:rsid w:val="47A417C5"/>
    <w:rsid w:val="47B42D68"/>
    <w:rsid w:val="47D75B03"/>
    <w:rsid w:val="480162B4"/>
    <w:rsid w:val="48FD0F37"/>
    <w:rsid w:val="49774BE0"/>
    <w:rsid w:val="49CC653A"/>
    <w:rsid w:val="49EE5020"/>
    <w:rsid w:val="4A800539"/>
    <w:rsid w:val="4B24683E"/>
    <w:rsid w:val="4B2468A5"/>
    <w:rsid w:val="4B336958"/>
    <w:rsid w:val="4C3834EC"/>
    <w:rsid w:val="4C7D6450"/>
    <w:rsid w:val="4CA34769"/>
    <w:rsid w:val="4D244E44"/>
    <w:rsid w:val="4D766DC3"/>
    <w:rsid w:val="4DA96DAF"/>
    <w:rsid w:val="4E7D63B1"/>
    <w:rsid w:val="4E8526C9"/>
    <w:rsid w:val="4E9661D3"/>
    <w:rsid w:val="4EF27E9F"/>
    <w:rsid w:val="4FF326D4"/>
    <w:rsid w:val="50956B3A"/>
    <w:rsid w:val="50EA7D5B"/>
    <w:rsid w:val="511E3186"/>
    <w:rsid w:val="512C01CE"/>
    <w:rsid w:val="512E0800"/>
    <w:rsid w:val="51404505"/>
    <w:rsid w:val="51782EBE"/>
    <w:rsid w:val="52A14A4F"/>
    <w:rsid w:val="531628F9"/>
    <w:rsid w:val="53686CD6"/>
    <w:rsid w:val="53804341"/>
    <w:rsid w:val="53E92BA4"/>
    <w:rsid w:val="54D811B0"/>
    <w:rsid w:val="54EC2121"/>
    <w:rsid w:val="55937540"/>
    <w:rsid w:val="55F8243E"/>
    <w:rsid w:val="56165648"/>
    <w:rsid w:val="569300A5"/>
    <w:rsid w:val="56F34035"/>
    <w:rsid w:val="574A3A54"/>
    <w:rsid w:val="57964504"/>
    <w:rsid w:val="5815106A"/>
    <w:rsid w:val="583B552E"/>
    <w:rsid w:val="583E2F16"/>
    <w:rsid w:val="58D414AC"/>
    <w:rsid w:val="5A0945CC"/>
    <w:rsid w:val="5A0A679E"/>
    <w:rsid w:val="5A0C6BB1"/>
    <w:rsid w:val="5A0F330F"/>
    <w:rsid w:val="5A837D78"/>
    <w:rsid w:val="5A9B793E"/>
    <w:rsid w:val="5ACD6955"/>
    <w:rsid w:val="5AF60EBB"/>
    <w:rsid w:val="5B550977"/>
    <w:rsid w:val="5B812236"/>
    <w:rsid w:val="5B8D1441"/>
    <w:rsid w:val="5C0D2110"/>
    <w:rsid w:val="5C4C42D8"/>
    <w:rsid w:val="5C5E6531"/>
    <w:rsid w:val="5C734C57"/>
    <w:rsid w:val="5D1B25D1"/>
    <w:rsid w:val="5F031EA7"/>
    <w:rsid w:val="5F0B233D"/>
    <w:rsid w:val="5F366FF3"/>
    <w:rsid w:val="5F67277F"/>
    <w:rsid w:val="5FDD602F"/>
    <w:rsid w:val="603A2ABF"/>
    <w:rsid w:val="60477ED6"/>
    <w:rsid w:val="60717E4B"/>
    <w:rsid w:val="60CD0794"/>
    <w:rsid w:val="60EA3009"/>
    <w:rsid w:val="610E52A4"/>
    <w:rsid w:val="614771B2"/>
    <w:rsid w:val="61EB027D"/>
    <w:rsid w:val="621269F4"/>
    <w:rsid w:val="62353ED7"/>
    <w:rsid w:val="6246720F"/>
    <w:rsid w:val="627B3C7C"/>
    <w:rsid w:val="62905168"/>
    <w:rsid w:val="62CA5C80"/>
    <w:rsid w:val="62FC074F"/>
    <w:rsid w:val="63B17CB6"/>
    <w:rsid w:val="63D5569D"/>
    <w:rsid w:val="64A61339"/>
    <w:rsid w:val="64AC2F64"/>
    <w:rsid w:val="64BB3775"/>
    <w:rsid w:val="64BE14A2"/>
    <w:rsid w:val="652505C7"/>
    <w:rsid w:val="65531423"/>
    <w:rsid w:val="656D105F"/>
    <w:rsid w:val="659768E8"/>
    <w:rsid w:val="65B228BF"/>
    <w:rsid w:val="65D50280"/>
    <w:rsid w:val="66893AB2"/>
    <w:rsid w:val="66F17846"/>
    <w:rsid w:val="67B10006"/>
    <w:rsid w:val="67E7796D"/>
    <w:rsid w:val="68D518BE"/>
    <w:rsid w:val="692D768A"/>
    <w:rsid w:val="69B8294C"/>
    <w:rsid w:val="6A6E5C18"/>
    <w:rsid w:val="6AA91F79"/>
    <w:rsid w:val="6AE977CE"/>
    <w:rsid w:val="6B83034F"/>
    <w:rsid w:val="6C9B4CCC"/>
    <w:rsid w:val="6CEF2DC8"/>
    <w:rsid w:val="6D1A6E88"/>
    <w:rsid w:val="6D2B237C"/>
    <w:rsid w:val="6D6B7DDB"/>
    <w:rsid w:val="6D7A1B4D"/>
    <w:rsid w:val="6EB86EA2"/>
    <w:rsid w:val="6F3F15D8"/>
    <w:rsid w:val="6F881FEB"/>
    <w:rsid w:val="6F8C070F"/>
    <w:rsid w:val="709C7941"/>
    <w:rsid w:val="710F37E5"/>
    <w:rsid w:val="71263EE7"/>
    <w:rsid w:val="713A069E"/>
    <w:rsid w:val="714F77B8"/>
    <w:rsid w:val="716C36A6"/>
    <w:rsid w:val="71741ED7"/>
    <w:rsid w:val="71C43969"/>
    <w:rsid w:val="724A0587"/>
    <w:rsid w:val="72851934"/>
    <w:rsid w:val="728A5C99"/>
    <w:rsid w:val="73096A16"/>
    <w:rsid w:val="73FA2F75"/>
    <w:rsid w:val="742475BB"/>
    <w:rsid w:val="74475B90"/>
    <w:rsid w:val="74524688"/>
    <w:rsid w:val="749F1E28"/>
    <w:rsid w:val="74ED6881"/>
    <w:rsid w:val="75EB4384"/>
    <w:rsid w:val="76206BFA"/>
    <w:rsid w:val="78002D70"/>
    <w:rsid w:val="7887256E"/>
    <w:rsid w:val="78900E9E"/>
    <w:rsid w:val="78C322D8"/>
    <w:rsid w:val="78D452CE"/>
    <w:rsid w:val="7912238A"/>
    <w:rsid w:val="791A1817"/>
    <w:rsid w:val="79771A73"/>
    <w:rsid w:val="7A32236A"/>
    <w:rsid w:val="7A5C4C55"/>
    <w:rsid w:val="7B4E236A"/>
    <w:rsid w:val="7C98620C"/>
    <w:rsid w:val="7CAC31DF"/>
    <w:rsid w:val="7D760599"/>
    <w:rsid w:val="7D787ECC"/>
    <w:rsid w:val="7E1B5F99"/>
    <w:rsid w:val="7E1C324B"/>
    <w:rsid w:val="7E1E5E0F"/>
    <w:rsid w:val="7E4726DC"/>
    <w:rsid w:val="7E524B0D"/>
    <w:rsid w:val="7E533CED"/>
    <w:rsid w:val="7E5E0A43"/>
    <w:rsid w:val="7EE92500"/>
    <w:rsid w:val="7EEB0D7C"/>
    <w:rsid w:val="7F21785D"/>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090C01"/>
  <w15:docId w15:val="{42BDF378-F85E-4080-BFD2-A616F2157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50C3"/>
    <w:pPr>
      <w:spacing w:after="200" w:line="276" w:lineRule="auto"/>
    </w:pPr>
    <w:rPr>
      <w:rFonts w:ascii="Times New Roman" w:eastAsia="Batang" w:hAnsi="Times New Roman"/>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
    <w:link w:val="3Char"/>
    <w:uiPriority w:val="9"/>
    <w:qFormat/>
    <w:pPr>
      <w:spacing w:before="260" w:after="260" w:line="416" w:lineRule="auto"/>
      <w:outlineLvl w:val="2"/>
    </w:pPr>
    <w:rPr>
      <w:b/>
      <w:bCs/>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nhideWhenUsed/>
    <w:qFormat/>
    <w:rPr>
      <w:sz w:val="20"/>
      <w:szCs w:val="20"/>
    </w:rPr>
  </w:style>
  <w:style w:type="paragraph" w:styleId="a5">
    <w:name w:val="Normal Indent"/>
    <w:basedOn w:val="a"/>
    <w:qFormat/>
    <w:pPr>
      <w:widowControl w:val="0"/>
      <w:spacing w:after="0" w:line="240" w:lineRule="auto"/>
      <w:ind w:firstLine="420"/>
      <w:jc w:val="both"/>
    </w:pPr>
    <w:rPr>
      <w:kern w:val="2"/>
      <w:sz w:val="21"/>
      <w:szCs w:val="20"/>
    </w:rPr>
  </w:style>
  <w:style w:type="paragraph" w:styleId="a6">
    <w:name w:val="caption"/>
    <w:basedOn w:val="a"/>
    <w:next w:val="a"/>
    <w:link w:val="Char1"/>
    <w:qFormat/>
    <w:pPr>
      <w:tabs>
        <w:tab w:val="left" w:pos="1418"/>
      </w:tabs>
      <w:spacing w:before="120" w:after="120" w:line="240" w:lineRule="auto"/>
    </w:pPr>
    <w:rPr>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page number"/>
    <w:basedOn w:val="a0"/>
    <w:uiPriority w:val="99"/>
    <w:unhideWhenUsed/>
    <w:qFormat/>
  </w:style>
  <w:style w:type="character" w:styleId="af3">
    <w:name w:val="Hyperlink"/>
    <w:uiPriority w:val="99"/>
    <w:unhideWhenUsed/>
    <w:qFormat/>
    <w:rPr>
      <w:color w:val="0000FF"/>
      <w:u w:val="single"/>
    </w:rPr>
  </w:style>
  <w:style w:type="character" w:styleId="af4">
    <w:name w:val="annotation reference"/>
    <w:unhideWhenUsed/>
    <w:qFormat/>
    <w:rPr>
      <w:sz w:val="16"/>
      <w:szCs w:val="16"/>
    </w:rPr>
  </w:style>
  <w:style w:type="table" w:styleId="af5">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0">
    <w:name w:val="批注文字 Char"/>
    <w:basedOn w:val="a0"/>
    <w:link w:val="a4"/>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10"/>
    <w:uiPriority w:val="34"/>
    <w:qFormat/>
    <w:locked/>
    <w:rPr>
      <w:rFonts w:ascii="Times New Roman" w:hAnsi="Times New Roman"/>
      <w:kern w:val="2"/>
      <w:sz w:val="21"/>
      <w:szCs w:val="24"/>
    </w:rPr>
  </w:style>
  <w:style w:type="paragraph" w:customStyle="1" w:styleId="10">
    <w:name w:val="列出段落1"/>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2">
    <w:name w:val="文档结构图 Char"/>
    <w:link w:val="a7"/>
    <w:uiPriority w:val="99"/>
    <w:semiHidden/>
    <w:qFormat/>
    <w:rPr>
      <w:rFonts w:ascii="宋体"/>
      <w:sz w:val="18"/>
      <w:szCs w:val="18"/>
    </w:rPr>
  </w:style>
  <w:style w:type="character" w:customStyle="1" w:styleId="Char5">
    <w:name w:val="纯文本 Char"/>
    <w:link w:val="aa"/>
    <w:uiPriority w:val="99"/>
    <w:qFormat/>
    <w:rPr>
      <w:rFonts w:eastAsia="Calibri"/>
      <w:sz w:val="22"/>
      <w:szCs w:val="21"/>
      <w:lang w:val="en-GB" w:eastAsia="en-US"/>
    </w:rPr>
  </w:style>
  <w:style w:type="character" w:customStyle="1" w:styleId="Char4">
    <w:name w:val="正文文本缩进 Char"/>
    <w:link w:val="a9"/>
    <w:uiPriority w:val="99"/>
    <w:qFormat/>
    <w:rPr>
      <w:sz w:val="22"/>
      <w:szCs w:val="22"/>
    </w:rPr>
  </w:style>
  <w:style w:type="character" w:customStyle="1" w:styleId="Char7">
    <w:name w:val="批注框文本 Char"/>
    <w:link w:val="ac"/>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9">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f"/>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8">
    <w:name w:val="页脚 Char"/>
    <w:link w:val="ad"/>
    <w:uiPriority w:val="99"/>
    <w:qFormat/>
    <w:rPr>
      <w:sz w:val="18"/>
      <w:szCs w:val="18"/>
    </w:rPr>
  </w:style>
  <w:style w:type="character" w:customStyle="1" w:styleId="Char6">
    <w:name w:val="日期 Char"/>
    <w:link w:val="ab"/>
    <w:uiPriority w:val="99"/>
    <w:semiHidden/>
    <w:qFormat/>
    <w:rPr>
      <w:sz w:val="22"/>
      <w:szCs w:val="22"/>
    </w:rPr>
  </w:style>
  <w:style w:type="character" w:customStyle="1" w:styleId="Char">
    <w:name w:val="批注主题 Char"/>
    <w:link w:val="a3"/>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6">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1">
    <w:name w:val="列出段落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2">
    <w:name w:val="修订1"/>
    <w:uiPriority w:val="99"/>
    <w:semiHidden/>
    <w:qFormat/>
    <w:rPr>
      <w:rFonts w:ascii="Times New Roman" w:eastAsia="Batang" w:hAnsi="Times New Roman"/>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8"/>
    <w:qFormat/>
    <w:pPr>
      <w:numPr>
        <w:numId w:val="5"/>
      </w:numPr>
      <w:tabs>
        <w:tab w:val="clear" w:pos="567"/>
        <w:tab w:val="left" w:pos="360"/>
      </w:tabs>
      <w:spacing w:after="120"/>
      <w:ind w:left="0" w:firstLine="0"/>
    </w:pPr>
    <w:rPr>
      <w:rFonts w:ascii="Arial" w:eastAsia="等线" w:hAnsi="Arial"/>
      <w:color w:val="auto"/>
      <w:szCs w:val="22"/>
    </w:rPr>
  </w:style>
  <w:style w:type="paragraph" w:customStyle="1" w:styleId="NO">
    <w:name w:val="NO"/>
    <w:basedOn w:val="a"/>
    <w:qFormat/>
    <w:pPr>
      <w:keepLines/>
      <w:ind w:left="1135" w:hanging="851"/>
    </w:pPr>
  </w:style>
  <w:style w:type="paragraph" w:styleId="af7">
    <w:name w:val="List Paragraph"/>
    <w:basedOn w:val="a"/>
    <w:uiPriority w:val="99"/>
    <w:rsid w:val="00C6696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10.bin"/><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1A0FD8-209A-4F22-9B04-CE83F1983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4</Pages>
  <Words>1839</Words>
  <Characters>10483</Characters>
  <Application>Microsoft Office Word</Application>
  <DocSecurity>0</DocSecurity>
  <Lines>87</Lines>
  <Paragraphs>24</Paragraphs>
  <ScaleCrop>false</ScaleCrop>
  <Company/>
  <LinksUpToDate>false</LinksUpToDate>
  <CharactersWithSpaces>12298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15</cp:revision>
  <dcterms:created xsi:type="dcterms:W3CDTF">2019-03-28T10:52:00Z</dcterms:created>
  <dcterms:modified xsi:type="dcterms:W3CDTF">2019-05-02T19:05:00Z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